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E5" w:rsidRPr="000E33E5" w:rsidRDefault="000E33E5" w:rsidP="000E33E5">
      <w:pPr>
        <w:pStyle w:val="3"/>
        <w:shd w:val="clear" w:color="auto" w:fill="FFFFFF"/>
        <w:tabs>
          <w:tab w:val="left" w:pos="2835"/>
        </w:tabs>
        <w:spacing w:before="0" w:beforeAutospacing="0" w:after="0" w:afterAutospacing="0"/>
        <w:ind w:left="176" w:right="150" w:hanging="142"/>
        <w:jc w:val="center"/>
        <w:rPr>
          <w:rFonts w:ascii="Arial" w:hAnsi="Arial" w:cstheme="minorBidi"/>
          <w:bCs w:val="0"/>
          <w:sz w:val="32"/>
          <w:szCs w:val="32"/>
          <w:u w:val="single"/>
        </w:rPr>
      </w:pPr>
      <w:r w:rsidRPr="000E33E5">
        <w:rPr>
          <w:rFonts w:ascii="Arial" w:hAnsi="Arial"/>
          <w:sz w:val="32"/>
          <w:szCs w:val="32"/>
          <w:u w:val="single"/>
        </w:rPr>
        <w:t xml:space="preserve">Програма курсу </w:t>
      </w:r>
      <w:r w:rsidRPr="000E33E5">
        <w:rPr>
          <w:rFonts w:ascii="Arial" w:hAnsi="Arial"/>
          <w:sz w:val="32"/>
          <w:szCs w:val="32"/>
          <w:u w:val="single"/>
          <w:lang w:val="uk-UA"/>
        </w:rPr>
        <w:t xml:space="preserve">скороченого </w:t>
      </w:r>
      <w:r w:rsidRPr="000E33E5">
        <w:rPr>
          <w:rFonts w:ascii="Arial" w:hAnsi="Arial" w:cstheme="minorBidi"/>
          <w:bCs w:val="0"/>
          <w:sz w:val="32"/>
          <w:szCs w:val="32"/>
          <w:u w:val="single"/>
        </w:rPr>
        <w:t>навчання фахівців з питань торгі</w:t>
      </w:r>
      <w:proofErr w:type="gramStart"/>
      <w:r w:rsidRPr="000E33E5">
        <w:rPr>
          <w:rFonts w:ascii="Arial" w:hAnsi="Arial" w:cstheme="minorBidi"/>
          <w:bCs w:val="0"/>
          <w:sz w:val="32"/>
          <w:szCs w:val="32"/>
          <w:u w:val="single"/>
        </w:rPr>
        <w:t>вл</w:t>
      </w:r>
      <w:proofErr w:type="gramEnd"/>
      <w:r w:rsidRPr="000E33E5">
        <w:rPr>
          <w:rFonts w:ascii="Arial" w:hAnsi="Arial" w:cstheme="minorBidi"/>
          <w:bCs w:val="0"/>
          <w:sz w:val="32"/>
          <w:szCs w:val="32"/>
          <w:u w:val="single"/>
        </w:rPr>
        <w:t>і цінними паперами</w:t>
      </w:r>
    </w:p>
    <w:p w:rsidR="00055427" w:rsidRDefault="00055427" w:rsidP="00055427">
      <w:pPr>
        <w:pStyle w:val="3"/>
        <w:shd w:val="clear" w:color="auto" w:fill="FFFFFF"/>
        <w:tabs>
          <w:tab w:val="left" w:pos="2835"/>
        </w:tabs>
        <w:spacing w:before="0" w:beforeAutospacing="0" w:after="0" w:afterAutospacing="0"/>
        <w:ind w:left="150" w:right="150"/>
        <w:jc w:val="center"/>
        <w:rPr>
          <w:rFonts w:ascii="Arial" w:hAnsi="Arial" w:cstheme="minorBidi"/>
          <w:b w:val="0"/>
          <w:bCs w:val="0"/>
          <w:sz w:val="28"/>
          <w:szCs w:val="28"/>
          <w:u w:val="single"/>
        </w:rPr>
      </w:pPr>
    </w:p>
    <w:p w:rsidR="00055427" w:rsidRDefault="00055427" w:rsidP="00055427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427" w:rsidRPr="00BE07BD" w:rsidRDefault="00055427" w:rsidP="00055427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ішенням Національної комісії з цінних паперів та фондового ринку від 13 листопада 2015 року № 1848</w:t>
      </w:r>
    </w:p>
    <w:p w:rsidR="00055427" w:rsidRPr="00BE07BD" w:rsidRDefault="00055427" w:rsidP="00055427">
      <w:pPr>
        <w:shd w:val="clear" w:color="auto" w:fill="FFFFFF"/>
        <w:spacing w:before="63" w:after="240" w:line="240" w:lineRule="auto"/>
        <w:ind w:left="63" w:right="63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CПЕЦІАЛІЗОВАНА ПРОГРАМА</w:t>
      </w:r>
      <w:r w:rsidR="000E33E5"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ru-RU"/>
        </w:rPr>
        <w:t xml:space="preserve"> </w:t>
      </w:r>
      <w:r w:rsidRPr="00BE07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навчання фахівців з питань торгі</w:t>
      </w:r>
      <w:proofErr w:type="gramStart"/>
      <w:r w:rsidRPr="00BE07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і цінними паперами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Регулювання діяльності торговців цінними паперами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7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Правила здійснення діяльності з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 цінними паперами: брокерської діяльності, дилерської діяльності, андеррайтингу, діяльності з управління цінними паперами.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договорів, що укладаються торговцем цінними паперами за видами діяльності. Обов’язки торговців цінними паперами при здійсненні операцій з цінними паперами. Вимоги до організації торговцем внутрішнього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 операцій з ЦП.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Організація первинного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іку діяльності торговців ЦП. Здійснення внутрішнього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 грошових коштів, цінних паперів, зобов’язань торговця цінними паперами та його клієнтів.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Комісії щодо порядку складання та надання адміністративних даних щодо діяльності торговців цінними паперами. Складання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іністративних даних торговцями ЦП в електронному вигляді.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Особливості провадження банками професійної діяльності на фондовому ринку (діяльності з торгівлі цінними паперами).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Вимоги Комісії щодо подання та розміщення інформації в загальнодоступній інформаційній базі даних Комі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ії про ринок цінних паперів торговцями цінних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фондовими біржами.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Особливості організації діяльності торговців цінними паперами на фондовій бірж</w:t>
      </w:r>
      <w:proofErr w:type="gramStart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6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Умови, за яких торговці цінними паперами мають право здійснювати операції на фондовій біржі. Членство на фондовій біржі,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ідстави для отримання статусу члена біржі. Права та обов’язки члена фондової біржі.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Операції, які можуть здійснювати торговці цінними паперами на фондових біржах.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Провадження торговцем цінними паперами брокерської діяльності за договорами на брокерське обслуговування з подальшим врегулюванням зобов’язань клієнта (здійснення маржинальних операцій на фондових біржах).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включення цінних паперів до біржового списку за ініціативою учасників торгів. Порядок здійснення організованих торгів.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Форми доступу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біржових торгів; Інструменти біржового фондового ринку.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Особливості біржової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 державними цінними паперами.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Особливості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строкового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ринку.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Торгові стратегії та управління капіталом.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3. Ліцензійні умови провадження професійної діяльності на фондовому ринку – діяльності з торгівлі цінними паперами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6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Порядок та умови видачі ліцензії на провадження професійної діяльності на фондовому ринку – діяльності з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 цінними паперами, переоформлення ліцензії. Ліцензійні умови провадження професійної діяльності на фондовому ринку </w:t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діяльності з торгівлі цінними паперами.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Підстави та порядок зупинення дії та анулювання ліцензії на провадження професійної діяльності на фондовому ринку - діяльності з торгівлі цінними паперами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ержавний контроль за дотриманням торговцями цінними паперами Порядку та Ліцензійних умов.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Комісії щодо сертифікації осіб, що здійснюють професійну діяльність з цінними паперами в Україні: умови проходження сертифікації; порядок подання та розгляд документів для отримання сертифіката; відмова у сертифікації;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ідстави та порядок анулювання сертифіката.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4. Особливості торгівлі різними видами цінних паперів (інших фінансових інструментів) на різних ринкових сегментах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Особливості здійснення  торговцями ЦП операцій з пайовими ЦП, борговими ЦП, іпотечними ЦП, іншими ЦП.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 Надання торговцями ЦП інформаційно-консультативних послуг  щодо обігу ЦП.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Особливості допуску на вітчизняний фондовий ринок цінних паперів іноземних емітенті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виведення на іноземні ринки українських цінних паперів. Нормативне регулювання можливості проведення операцій з цінними паперами на іноземних ринках.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5. Фінансові обчислення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Вартість грошей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часі. Прості та складні проценти. Теперішня та майбутня вартість.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Рента. Ануїтет. Приведена вартість ануїтету. Фінансові розрахунки з використанням формул ануїтету.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Оцінка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доц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ільності інвестування. Чиста теперішня вартість. Внутрішня норма доходності.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6. Оцінка вартості цінних паперів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Оцінка основних інвестиційних якостей цінних папері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– надійності, дохідності, ліквідності. Рейтингування. Національна рейтингова шкала. Поточна дохідність цінного паперу, дохідність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ігацій на строк погашення, коефіцієнт «ціна/доход», коефіцієнт ліквідності.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Вартісні характеристики цінних паперів – номінальна вартість, ринкова ціна, внутрішня теоретична вартість цінного паперу. Розрахунок балансової («бухгалтерської») вартості акцій – власний капітал на акцію.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Поняття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техн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ічного аналізу цінних паперів.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Поняття фундаментального аналізу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Поняття ризику. Фінансові ризики. Ризик і доход на ФР.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Оцінка вартості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ігацій. Оцінка вартості акцій. Моделі оцінки акцій в залежності від дивідендної політики емітента. Оцінка вартості похідних ЦП.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Основні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ідходи до оцінки згідно стандартів оціночної діяльності: дохідний, витратний, порівняльний. Документи, якими оформлюється результат оцінки, виконаної суб’єктом оціночної діяльності.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7. Практичні аспекти проведення приватизації в Україн</w:t>
      </w:r>
      <w:proofErr w:type="gramStart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Законодавчі основи приватизації. Державна програма приватизації. Порядок застосування способів приватизації майна державних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ідприємств.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8. Взаємодія торговців із депозитарною установою, розрахунки за правочинами щодо цінних паперів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Вимоги щодо обслуговування обігу цінних паперів на рахунках в цінних паперах. Відкриття рахунку в цінних паперах для окремих груп депонентів: фізичній та юридичній особі, резиденту та нерезиденту. </w:t>
      </w:r>
      <w:bookmarkStart w:id="0" w:name="n56"/>
      <w:bookmarkEnd w:id="0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Рахунок у цінних паперах депонента. Особливості відкриття рахунку в цінних паперах інституційним інвесторам.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іністративні, інформаційні  та облікові операції депозитарної установи.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до порядку подання, реєстрації в системі депозитарного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 розпоряджень та інших документів і вимоги до їх змісту. Надання  депозитарним установам інформації за укладеними договорами щодо цінних паперів.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Набуття і припинення прав на цінні папери і прав за цінними паперами. Операційний день депозитарної установи. Операція щодо цінних паперів. Безумовна операція з управління рахунком у цінних паперах. Безумовна операція щодо обмеження здійснення операцій у системі депозитарного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іку. </w:t>
      </w:r>
      <w:bookmarkStart w:id="1" w:name="n54"/>
      <w:bookmarkEnd w:id="1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щодо оформлення розпоряджень депонентів, клієнтів. Особливості складання розпоряджень депонентів, клієнтів. Вимоги до порядку обробки та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ідтвердження розпоряджень депонентів. Підстави відмови у взятті до виконання розпоряджень депонента, клієнта. Внесення змін до системи депозитарного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 при обслуговуванні операцій щодо цінних паперів.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Особливості депозитарного обслуговування активів інституційних інвесторів.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bookmarkStart w:id="2" w:name="n281"/>
      <w:bookmarkEnd w:id="2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Одиночні розрахунки за правочинами щодо цінних паперів (далі - одиночні розрахунки). Розрахунки з дотриманням принципу «поставка цінних паперів проти оплати». Внесення змін до системи депозитарного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іку при обслуговуванні операцій щодо цінних паперів.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Взаємодія Центрального депозитарію та Розрахункового центру щодо виконання розрахунків за договорами щодо цінних паперів. Діяльність Розрахункового центру.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Вимоги до порядку здійснення клірингу.  Правила клірингу. Розрахунки за правочинами щодо цінних папері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результатом неттінгу. Механізми зниження ризиків невиконання або неналежного виконання зобов’язань, що передбачені договорами, укладеними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фондовій біржі.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9. Інформаційні технології здійснення діяльності торговців цінними паперами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6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Міжнародні інформаційні системи.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Використання торговцями програмного  забезпечення організаторів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і ЦП. Програмне забезпечення прийняття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ішення. Сучасні програмно-технічні засоби для забезпечення виконання операцій з ЦП. Практичні особливості роботи з програмними продуктами для торговців ЦП.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Техн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ічне та програмне забезпечення бек-офісу торговця ЦП.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Основні характеристики операційних систем, систем управління базами даних. Використання Інтернет-технологій в діяльності торговців  ЦП.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10. Пруденційний нагляд за діяльністю з торгівлі цінними паперами та управління ризиками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 2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Ризики професійної діяльності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Пруденційні нормативи діяльності з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 цінними паперами.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розрахунку пруденційних показників діяльності з торгі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 цінними паперами.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Внутрішня система запобігання та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інімізації впливу ризиків.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Державний контроль у процесі здійснення пруденційного нагляду.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11. Оподаткування діяльності з торгівлі цінними паперами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Загальні положення щодо оподаткування операцій з цінними паперами.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Оподаткування прибутку торговців цінними паперами.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Оподаткування доходів фізичних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від операцій з інвестиційними активами.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Виконання торговцем цінними паперами функцій податкового агента.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 12. Вимоги до здійснення клірингової діяльності та розрахунків за правочинами щодо цінних паперів</w:t>
      </w:r>
      <w:proofErr w:type="gramStart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Поняття клірингової діяльності. Поняття: кліринг, неттінг, особа, що провадить клірингову діяльність, клірингова установа, центральний контрагент, клірингові рахунки, клірингові субрахунки. Вимоги до договорів, що укладаються  при здійсненні клірингу та проведенні розрахунків за правочинами щодо цінних паперів: догові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про кліринг та розрахунки за правочинами щодо цінних паперів, договір про проведення розрахунків у цінних паперах за результатами клірингу, договір про проведення грошових розрахунків за результатами клірингу.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Функції та компетенція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, які провадять клірингову діяльність. Внутрішня система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іку особи, що здійснює клірингову діяльність. Провадження клірингової діяльності Правила клірингу. Вимоги до здійснення клірингу. Вимоги 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організації створення</w:t>
      </w:r>
      <w:bookmarkStart w:id="3" w:name="_GoBack"/>
      <w:bookmarkEnd w:id="3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системи зниження ризиків при провадженні клірингової діяльності. Рахунок у цінних паперах клірингової установи та Розрахункового центру. Догові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про обслуговування клірингової установи та договір про обслуговування Розрахункового центру.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Порядок проведення розрахунків за правочинами щодо цінних паперів. Клірингова відомість.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 обміну документами при проведенні розрахункі</w:t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Лекційних та практичних занять - 51 год.</w:t>
      </w:r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 xml:space="preserve">Поточна </w:t>
      </w:r>
      <w:proofErr w:type="gramStart"/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перев</w:t>
      </w:r>
      <w:proofErr w:type="gramEnd"/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ірка знань - 4 год.</w:t>
      </w:r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Кваліфікаційний іспит - 8 год.</w:t>
      </w:r>
      <w:r w:rsidRPr="00BE07B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Загальна кількість - 63год.</w:t>
      </w:r>
    </w:p>
    <w:p w:rsidR="00055427" w:rsidRPr="00BE07BD" w:rsidRDefault="00055427" w:rsidP="00055427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55427" w:rsidRPr="00055427" w:rsidRDefault="00055427" w:rsidP="00055427">
      <w:pPr>
        <w:pStyle w:val="3"/>
        <w:shd w:val="clear" w:color="auto" w:fill="FFFFFF"/>
        <w:tabs>
          <w:tab w:val="left" w:pos="2835"/>
        </w:tabs>
        <w:spacing w:before="0" w:beforeAutospacing="0" w:after="0" w:afterAutospacing="0"/>
        <w:ind w:left="150" w:right="150"/>
        <w:jc w:val="center"/>
        <w:rPr>
          <w:rFonts w:ascii="Arial" w:hAnsi="Arial" w:cstheme="minorBidi"/>
          <w:b w:val="0"/>
          <w:bCs w:val="0"/>
          <w:sz w:val="28"/>
          <w:szCs w:val="28"/>
          <w:u w:val="single"/>
        </w:rPr>
      </w:pPr>
    </w:p>
    <w:p w:rsidR="00F254FC" w:rsidRDefault="00F254FC"/>
    <w:sectPr w:rsidR="00F254FC" w:rsidSect="00055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D6"/>
    <w:rsid w:val="00055427"/>
    <w:rsid w:val="000621B3"/>
    <w:rsid w:val="000E33E5"/>
    <w:rsid w:val="005804D6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2019-12-11T08:10:00Z</dcterms:created>
  <dcterms:modified xsi:type="dcterms:W3CDTF">2019-12-11T08:14:00Z</dcterms:modified>
</cp:coreProperties>
</file>