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BD" w:rsidRDefault="002009BD" w:rsidP="002009BD">
      <w:pPr>
        <w:pStyle w:val="3"/>
        <w:shd w:val="clear" w:color="auto" w:fill="FFFFFF"/>
        <w:tabs>
          <w:tab w:val="left" w:pos="2835"/>
        </w:tabs>
        <w:spacing w:before="0" w:beforeAutospacing="0" w:after="0" w:afterAutospacing="0"/>
        <w:ind w:left="150" w:right="150"/>
        <w:jc w:val="center"/>
        <w:rPr>
          <w:rFonts w:ascii="Arial" w:hAnsi="Arial" w:cstheme="minorBidi"/>
          <w:bCs w:val="0"/>
          <w:sz w:val="32"/>
          <w:szCs w:val="32"/>
          <w:u w:val="single"/>
          <w:lang w:val="uk-UA"/>
        </w:rPr>
      </w:pPr>
      <w:r w:rsidRPr="002009BD">
        <w:rPr>
          <w:rFonts w:ascii="Arial" w:hAnsi="Arial"/>
          <w:sz w:val="32"/>
          <w:szCs w:val="32"/>
          <w:u w:val="single"/>
        </w:rPr>
        <w:t xml:space="preserve">Програма курсу </w:t>
      </w:r>
      <w:r w:rsidR="0087088F">
        <w:rPr>
          <w:rFonts w:ascii="Arial" w:hAnsi="Arial"/>
          <w:sz w:val="32"/>
          <w:szCs w:val="32"/>
          <w:u w:val="single"/>
          <w:lang w:val="uk-UA"/>
        </w:rPr>
        <w:t xml:space="preserve">скороченого </w:t>
      </w:r>
      <w:r w:rsidRPr="002009BD">
        <w:rPr>
          <w:rFonts w:ascii="Arial" w:hAnsi="Arial" w:cstheme="minorBidi"/>
          <w:bCs w:val="0"/>
          <w:sz w:val="32"/>
          <w:szCs w:val="32"/>
          <w:u w:val="single"/>
        </w:rPr>
        <w:t xml:space="preserve">навчання фахівців з питань </w:t>
      </w:r>
      <w:r w:rsidRPr="002009BD">
        <w:rPr>
          <w:rFonts w:ascii="Arial" w:hAnsi="Arial" w:cstheme="minorBidi"/>
          <w:bCs w:val="0"/>
          <w:sz w:val="32"/>
          <w:szCs w:val="32"/>
          <w:u w:val="single"/>
          <w:lang w:val="uk-UA"/>
        </w:rPr>
        <w:t>депозитарної діяльності</w:t>
      </w:r>
    </w:p>
    <w:p w:rsidR="006D2CF2" w:rsidRPr="00BE07BD" w:rsidRDefault="006D2CF2" w:rsidP="006D2CF2">
      <w:pPr>
        <w:shd w:val="clear" w:color="auto" w:fill="FFFFFF"/>
        <w:spacing w:before="83" w:after="83" w:line="240" w:lineRule="auto"/>
        <w:ind w:left="83" w:right="8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ішенням Національної комісії з цінних паперів та фондового ринку від 13 листопада 2015 року № 1848</w:t>
      </w:r>
    </w:p>
    <w:p w:rsidR="002009BD" w:rsidRDefault="002009BD" w:rsidP="002009B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F21411">
        <w:rPr>
          <w:rFonts w:ascii="Times New Roman" w:hAnsi="Times New Roman"/>
          <w:b/>
          <w:sz w:val="28"/>
          <w:szCs w:val="28"/>
        </w:rPr>
        <w:t>Спец</w:t>
      </w:r>
      <w:proofErr w:type="gramEnd"/>
      <w:r w:rsidRPr="00F21411">
        <w:rPr>
          <w:rFonts w:ascii="Times New Roman" w:hAnsi="Times New Roman"/>
          <w:b/>
          <w:sz w:val="28"/>
          <w:szCs w:val="28"/>
        </w:rPr>
        <w:t xml:space="preserve">іалізована програма навчання фахівців з питань </w:t>
      </w:r>
      <w:r>
        <w:rPr>
          <w:rFonts w:ascii="Times New Roman" w:hAnsi="Times New Roman"/>
          <w:b/>
          <w:sz w:val="28"/>
          <w:szCs w:val="28"/>
        </w:rPr>
        <w:t>депозитарно</w:t>
      </w:r>
      <w:r>
        <w:rPr>
          <w:rFonts w:ascii="Times New Roman" w:hAnsi="Times New Roman"/>
          <w:b/>
          <w:sz w:val="28"/>
          <w:szCs w:val="28"/>
          <w:lang w:val="uk-UA"/>
        </w:rPr>
        <w:t>ї діяльності</w:t>
      </w: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eastAsia="SimSun" w:hAnsi="Times New Roman" w:cs="Times New Roman"/>
          <w:b/>
          <w:color w:val="000000"/>
        </w:rPr>
        <w:t>Тема 1.</w:t>
      </w:r>
      <w:r w:rsidRPr="006D2CF2">
        <w:rPr>
          <w:rFonts w:ascii="Times New Roman" w:hAnsi="Times New Roman" w:cs="Times New Roman"/>
          <w:b/>
          <w:color w:val="000000"/>
        </w:rPr>
        <w:t xml:space="preserve"> Принципи побудови системи депозитарного обліку та загальні вимоги до обслуговування цінних паперів 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 xml:space="preserve"> системі депозитарного обліку</w:t>
      </w: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Кількість годин – 2 </w:t>
      </w: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Загальні засади здійснення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 ЦП. Принципи побудови системи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 ЦП. </w:t>
      </w:r>
      <w:proofErr w:type="gramStart"/>
      <w:r w:rsidRPr="006D2CF2">
        <w:rPr>
          <w:rFonts w:ascii="Times New Roman" w:hAnsi="Times New Roman" w:cs="Times New Roman"/>
          <w:color w:val="000000"/>
        </w:rPr>
        <w:t>Св</w:t>
      </w:r>
      <w:proofErr w:type="gramEnd"/>
      <w:r w:rsidRPr="006D2CF2">
        <w:rPr>
          <w:rFonts w:ascii="Times New Roman" w:hAnsi="Times New Roman" w:cs="Times New Roman"/>
          <w:color w:val="000000"/>
        </w:rPr>
        <w:t>ітові тенденції розвитку та загальноприйняті принципи побудови депозитарних систем.</w:t>
      </w:r>
    </w:p>
    <w:p w:rsidR="002009BD" w:rsidRPr="006D2CF2" w:rsidRDefault="002009BD" w:rsidP="002009BD">
      <w:pPr>
        <w:pStyle w:val="a3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 xml:space="preserve">Система депозитарного </w:t>
      </w:r>
      <w:proofErr w:type="gramStart"/>
      <w:r w:rsidRPr="006D2CF2">
        <w:rPr>
          <w:color w:val="000000"/>
          <w:sz w:val="22"/>
          <w:szCs w:val="22"/>
        </w:rPr>
        <w:t>обл</w:t>
      </w:r>
      <w:proofErr w:type="gramEnd"/>
      <w:r w:rsidRPr="006D2CF2">
        <w:rPr>
          <w:color w:val="000000"/>
          <w:sz w:val="22"/>
          <w:szCs w:val="22"/>
        </w:rPr>
        <w:t>іку та її складові: первинні документи; облікові регістри оперативного обліку; активні та пасивні</w:t>
      </w:r>
      <w:r w:rsidRPr="006D2CF2">
        <w:rPr>
          <w:b/>
          <w:bCs/>
          <w:color w:val="000000"/>
          <w:sz w:val="22"/>
          <w:szCs w:val="22"/>
        </w:rPr>
        <w:t xml:space="preserve"> </w:t>
      </w:r>
      <w:r w:rsidRPr="006D2CF2">
        <w:rPr>
          <w:color w:val="000000"/>
          <w:sz w:val="22"/>
          <w:szCs w:val="22"/>
        </w:rPr>
        <w:t xml:space="preserve">аналітичні рахунки депозитарного обліку, реєстр кодів цінних паперів. </w:t>
      </w: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Стандарт (правила)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 цінних паперів. Правила присвоєння депозитарного коду рахунку в цінних паперах. Класифікація аналітичних рахунків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іку. Класифікація балансових рахунків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іку. План балансових рахунків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іку. </w:t>
      </w:r>
    </w:p>
    <w:p w:rsidR="002009BD" w:rsidRPr="006D2CF2" w:rsidRDefault="002009BD" w:rsidP="002009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eastAsia="SimSun" w:hAnsi="Times New Roman" w:cs="Times New Roman"/>
          <w:b/>
          <w:color w:val="000000"/>
        </w:rPr>
        <w:t>Тема 2.</w:t>
      </w:r>
      <w:r w:rsidRPr="006D2CF2">
        <w:rPr>
          <w:rFonts w:ascii="Times New Roman" w:hAnsi="Times New Roman" w:cs="Times New Roman"/>
          <w:b/>
          <w:color w:val="000000"/>
        </w:rPr>
        <w:t xml:space="preserve"> Основні функції та повноваження Центрального депозитарія цінних папері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 xml:space="preserve"> та депозитарних установ </w:t>
      </w: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</w:rPr>
        <w:t>Кількість годин – 2</w:t>
      </w: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Поняття депозитарної діяльності та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>іку цінних паперів. Основні функції Центрального депозитарію та депозитарних установ. Виключна компетенція Центрального депозитарію.</w:t>
      </w:r>
    </w:p>
    <w:p w:rsidR="002009BD" w:rsidRPr="006D2CF2" w:rsidRDefault="002009BD" w:rsidP="002009BD">
      <w:pPr>
        <w:pStyle w:val="a3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 xml:space="preserve">Депозитарні операції щодо забезпечення функції зберігання цінних паперів. Депозитарні операції з виконання функцій щодо депозитарного </w:t>
      </w:r>
      <w:proofErr w:type="gramStart"/>
      <w:r w:rsidRPr="006D2CF2">
        <w:rPr>
          <w:color w:val="000000"/>
          <w:sz w:val="22"/>
          <w:szCs w:val="22"/>
        </w:rPr>
        <w:t>обл</w:t>
      </w:r>
      <w:proofErr w:type="gramEnd"/>
      <w:r w:rsidRPr="006D2CF2">
        <w:rPr>
          <w:color w:val="000000"/>
          <w:sz w:val="22"/>
          <w:szCs w:val="22"/>
        </w:rPr>
        <w:t>іку цінних паперів, обслуговування обігу цінних паперів та корпоративних операцій емітента. Корпоративні операції емітента.</w:t>
      </w: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  <w:lang w:val="uk-UA"/>
        </w:rPr>
        <w:t xml:space="preserve">Перелік ЦП, щодо яких здійснюється депозитарна діяльність. </w:t>
      </w:r>
      <w:r w:rsidRPr="006D2CF2">
        <w:rPr>
          <w:rFonts w:ascii="Times New Roman" w:hAnsi="Times New Roman" w:cs="Times New Roman"/>
          <w:color w:val="000000"/>
        </w:rPr>
        <w:t xml:space="preserve">Вимоги до приміщення, до </w:t>
      </w:r>
      <w:proofErr w:type="gramStart"/>
      <w:r w:rsidRPr="006D2CF2">
        <w:rPr>
          <w:rFonts w:ascii="Times New Roman" w:hAnsi="Times New Roman" w:cs="Times New Roman"/>
          <w:color w:val="000000"/>
        </w:rPr>
        <w:t>системного</w:t>
      </w:r>
      <w:proofErr w:type="gramEnd"/>
      <w:r w:rsidRPr="006D2CF2">
        <w:rPr>
          <w:rFonts w:ascii="Times New Roman" w:hAnsi="Times New Roman" w:cs="Times New Roman"/>
          <w:color w:val="000000"/>
        </w:rPr>
        <w:t>, програмно-технічного забезпечення та засобів зв’язку. Обмеження щодо провадження  депозитарної діяльності депозитарними установами.</w:t>
      </w:r>
    </w:p>
    <w:p w:rsidR="002009BD" w:rsidRPr="006D2CF2" w:rsidRDefault="002009BD" w:rsidP="002009BD">
      <w:pPr>
        <w:pStyle w:val="a3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>Послуги Центрального депозитарію та депозитарних установ при здійсненні депозитарної діяльності. Інвентаризація депозитарних активі</w:t>
      </w:r>
      <w:proofErr w:type="gramStart"/>
      <w:r w:rsidRPr="006D2CF2">
        <w:rPr>
          <w:color w:val="000000"/>
          <w:sz w:val="22"/>
          <w:szCs w:val="22"/>
        </w:rPr>
        <w:t>в</w:t>
      </w:r>
      <w:proofErr w:type="gramEnd"/>
      <w:r w:rsidRPr="006D2CF2">
        <w:rPr>
          <w:color w:val="000000"/>
          <w:sz w:val="22"/>
          <w:szCs w:val="22"/>
        </w:rPr>
        <w:t>.</w:t>
      </w:r>
    </w:p>
    <w:p w:rsidR="002009BD" w:rsidRPr="006D2CF2" w:rsidRDefault="002009BD" w:rsidP="002009BD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Особливості провадження банками професійної діяльності </w:t>
      </w:r>
      <w:proofErr w:type="gramStart"/>
      <w:r w:rsidRPr="006D2CF2">
        <w:rPr>
          <w:rFonts w:ascii="Times New Roman" w:hAnsi="Times New Roman" w:cs="Times New Roman"/>
          <w:color w:val="000000"/>
        </w:rPr>
        <w:t>на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фондовому ринку (депозитарної діяльності).</w:t>
      </w:r>
    </w:p>
    <w:p w:rsidR="006D2CF2" w:rsidRDefault="002009BD" w:rsidP="006D2CF2">
      <w:pPr>
        <w:spacing w:after="0"/>
        <w:ind w:firstLine="720"/>
        <w:jc w:val="both"/>
        <w:rPr>
          <w:rFonts w:ascii="Times New Roman" w:hAnsi="Times New Roman" w:cs="Times New Roman"/>
          <w:color w:val="000000"/>
          <w:lang w:val="uk-UA"/>
        </w:rPr>
      </w:pPr>
      <w:r w:rsidRPr="006D2CF2">
        <w:rPr>
          <w:rFonts w:ascii="Times New Roman" w:hAnsi="Times New Roman" w:cs="Times New Roman"/>
          <w:color w:val="000000"/>
        </w:rPr>
        <w:t xml:space="preserve">Державний контроль за здійсненням депозитарної діяльності. Повноваження державних органів щодо контролю за депозитарними установами.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eastAsia="SimSun" w:hAnsi="Times New Roman" w:cs="Times New Roman"/>
          <w:bCs/>
          <w:color w:val="000000"/>
        </w:rPr>
        <w:t>Тема 3.</w:t>
      </w:r>
      <w:r w:rsidRPr="006D2CF2">
        <w:rPr>
          <w:rFonts w:ascii="Times New Roman" w:hAnsi="Times New Roman" w:cs="Times New Roman"/>
          <w:b/>
          <w:color w:val="000000"/>
        </w:rPr>
        <w:t xml:space="preserve"> Умови та порядок внесення змін до системи депозитарного 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>іку при проведенні адміністративних операцій. Виконання вимог законодавства щодо повідомлення податкових органі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 xml:space="preserve"> про відкриття та закриття рахунків платників податків у фінансових установах.</w:t>
      </w:r>
    </w:p>
    <w:p w:rsidR="002009BD" w:rsidRPr="006D2CF2" w:rsidRDefault="002009BD" w:rsidP="006D2CF2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D2CF2">
        <w:rPr>
          <w:rFonts w:ascii="Times New Roman" w:hAnsi="Times New Roman" w:cs="Times New Roman"/>
          <w:b w:val="0"/>
          <w:color w:val="000000"/>
          <w:sz w:val="22"/>
          <w:szCs w:val="22"/>
        </w:rPr>
        <w:t>Кількість годин – 4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Умови та порядок відкриття рахунку у цінних паперах. Вимоги до договору про обслуговування рахунку в цінних паперах, договору про обслуговування випусків цінних паперів, </w:t>
      </w:r>
      <w:proofErr w:type="gramStart"/>
      <w:r w:rsidRPr="006D2CF2">
        <w:rPr>
          <w:rFonts w:ascii="Times New Roman" w:hAnsi="Times New Roman" w:cs="Times New Roman"/>
          <w:color w:val="000000"/>
        </w:rPr>
        <w:t>депозитарного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договору, договору про обслуговування Розрахункового центру, договору про обслуговування клірингової установи, договору про кореспондентські відносини.</w:t>
      </w:r>
    </w:p>
    <w:p w:rsidR="002009BD" w:rsidRPr="006D2CF2" w:rsidRDefault="002009BD" w:rsidP="006D2CF2">
      <w:pPr>
        <w:pStyle w:val="rvps6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  <w:lang w:val="uk-UA"/>
        </w:rPr>
        <w:t xml:space="preserve">Депонент. </w:t>
      </w:r>
      <w:r w:rsidRPr="006D2CF2">
        <w:rPr>
          <w:color w:val="000000"/>
          <w:sz w:val="22"/>
          <w:szCs w:val="22"/>
          <w:shd w:val="clear" w:color="auto" w:fill="FFFFFF"/>
          <w:lang w:val="uk-UA"/>
        </w:rPr>
        <w:t>Розпорядник рахунку в цінних паперах. Відкриття рахунку в цінних паперах для окремих груп депонентів:</w:t>
      </w:r>
      <w:r w:rsidRPr="006D2CF2">
        <w:rPr>
          <w:color w:val="000000"/>
          <w:sz w:val="22"/>
          <w:szCs w:val="22"/>
          <w:lang w:val="uk-UA"/>
        </w:rPr>
        <w:t xml:space="preserve"> фізичній та юридичній особі, резиденту та нерезиденту</w:t>
      </w:r>
      <w:r w:rsidRPr="006D2CF2">
        <w:rPr>
          <w:color w:val="000000"/>
          <w:sz w:val="22"/>
          <w:szCs w:val="22"/>
          <w:shd w:val="clear" w:color="auto" w:fill="FFFFFF"/>
          <w:lang w:val="uk-UA"/>
        </w:rPr>
        <w:t xml:space="preserve">. </w:t>
      </w:r>
      <w:bookmarkStart w:id="0" w:name="n56"/>
      <w:bookmarkEnd w:id="0"/>
      <w:r w:rsidRPr="006D2CF2">
        <w:rPr>
          <w:color w:val="000000"/>
          <w:sz w:val="22"/>
          <w:szCs w:val="22"/>
          <w:shd w:val="clear" w:color="auto" w:fill="FFFFFF"/>
          <w:lang w:val="uk-UA"/>
        </w:rPr>
        <w:t xml:space="preserve">Керуючий рахунком депонента. </w:t>
      </w:r>
      <w:r w:rsidRPr="006D2CF2">
        <w:rPr>
          <w:color w:val="000000"/>
          <w:sz w:val="22"/>
          <w:szCs w:val="22"/>
          <w:lang w:val="uk-UA"/>
        </w:rPr>
        <w:t xml:space="preserve">Відкриття власного рахунку у цінних паперах депозитарної установи.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Особливості відкриття рахунків у цінних паперах інституційним інвесторам.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Особливості відкриття рахунку у цінних паперах на і</w:t>
      </w:r>
      <w:proofErr w:type="gramStart"/>
      <w:r w:rsidRPr="006D2CF2">
        <w:rPr>
          <w:rFonts w:ascii="Times New Roman" w:hAnsi="Times New Roman" w:cs="Times New Roman"/>
          <w:color w:val="000000"/>
        </w:rPr>
        <w:t>м’я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держави/територіальної громади. Вимоги щодо оформлення договору про обслуговування рахунку у цінних паперах на і</w:t>
      </w:r>
      <w:proofErr w:type="gramStart"/>
      <w:r w:rsidRPr="006D2CF2">
        <w:rPr>
          <w:rFonts w:ascii="Times New Roman" w:hAnsi="Times New Roman" w:cs="Times New Roman"/>
          <w:color w:val="000000"/>
        </w:rPr>
        <w:t>м’я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держави/територіальної громади. Порядок призначення керуючого рахунком у цінних паперах. Особливості складання розпоряджень суб’єктом управління корпоративними правами держави/територіальної громади депозитарним установам.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Порядок взаємодії суб’єктів управління корпоративними правами держави/територіальної громади з депозитарними установами.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Вимоги до документі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, які надаються суб’єктом управління корпоративними правами держави/територіальної громади депозитарним установам для проведення операцій з цінними паперами, які належать державі/територіальній громаді.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Умови та порядок оформлення та внесення змін до анкети рахунку у цінних паперах/анкети керуючого рахунку у цінних паперах/розпорядника рахунку у цінних паперах.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Умови та порядок закриття рахунку у цінних паперах.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lastRenderedPageBreak/>
        <w:t xml:space="preserve">Стаття 69 Податкового кодексу України. Наказ Мінфіну від 02.04.2012 р. № 426 «Про затвердження Порядку подання повідомлень про відкриття/закриття рахунків платників податків </w:t>
      </w:r>
      <w:proofErr w:type="gramStart"/>
      <w:r w:rsidRPr="006D2CF2">
        <w:rPr>
          <w:rFonts w:ascii="Times New Roman" w:hAnsi="Times New Roman" w:cs="Times New Roman"/>
          <w:color w:val="000000"/>
        </w:rPr>
        <w:t>у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банках та інших фінансових установах до органів державної податкової служби».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Відповідальність за невиконання вимог щодо повідомлення податкових органі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про відкриття та закриття рахунків платників податків.</w:t>
      </w:r>
    </w:p>
    <w:p w:rsidR="002009BD" w:rsidRPr="006D2CF2" w:rsidRDefault="002009BD" w:rsidP="006D2C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009BD" w:rsidRPr="006D2CF2" w:rsidRDefault="002009BD" w:rsidP="006D2CF2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D2CF2">
        <w:rPr>
          <w:rFonts w:ascii="Times New Roman" w:hAnsi="Times New Roman" w:cs="Times New Roman"/>
          <w:color w:val="000000"/>
          <w:sz w:val="22"/>
          <w:szCs w:val="22"/>
        </w:rPr>
        <w:t xml:space="preserve">Тема 4. Умови та порядок внесення змін до системи депозитарного </w:t>
      </w:r>
      <w:proofErr w:type="gramStart"/>
      <w:r w:rsidRPr="006D2CF2">
        <w:rPr>
          <w:rFonts w:ascii="Times New Roman" w:hAnsi="Times New Roman" w:cs="Times New Roman"/>
          <w:color w:val="000000"/>
          <w:sz w:val="22"/>
          <w:szCs w:val="22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  <w:sz w:val="22"/>
          <w:szCs w:val="22"/>
        </w:rPr>
        <w:t>іку при обслуговуванні операцій щодо цінних паперів, проведенні розрахунків за правочинами щодо цінних паперів</w:t>
      </w:r>
    </w:p>
    <w:p w:rsidR="002009BD" w:rsidRPr="006D2CF2" w:rsidRDefault="002009BD" w:rsidP="006D2CF2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D2CF2">
        <w:rPr>
          <w:rFonts w:ascii="Times New Roman" w:hAnsi="Times New Roman" w:cs="Times New Roman"/>
          <w:b w:val="0"/>
          <w:color w:val="000000"/>
          <w:sz w:val="22"/>
          <w:szCs w:val="22"/>
        </w:rPr>
        <w:t>Кількість годин - 4</w:t>
      </w:r>
      <w:r w:rsidRPr="006D2CF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6D2CF2">
        <w:rPr>
          <w:rFonts w:ascii="Times New Roman" w:hAnsi="Times New Roman" w:cs="Times New Roman"/>
          <w:color w:val="000000"/>
        </w:rPr>
        <w:t>П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ідстави унесення змін до системи депозитарного обліку. Вимоги до порядку подання, реєстрації в системі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 розпоряджень та інших документів, вимоги до їх змісту, порядку обробки та підтвердження отримання. Журнал розпоряджень. Журнал операцій. Вимоги до проведення депозитарних операцій. </w:t>
      </w:r>
      <w:proofErr w:type="gramStart"/>
      <w:r w:rsidRPr="006D2CF2">
        <w:rPr>
          <w:rFonts w:ascii="Times New Roman" w:hAnsi="Times New Roman" w:cs="Times New Roman"/>
          <w:color w:val="000000"/>
        </w:rPr>
        <w:t>П</w:t>
      </w:r>
      <w:proofErr w:type="gramEnd"/>
      <w:r w:rsidRPr="006D2CF2">
        <w:rPr>
          <w:rFonts w:ascii="Times New Roman" w:hAnsi="Times New Roman" w:cs="Times New Roman"/>
          <w:color w:val="000000"/>
        </w:rPr>
        <w:t>ідстави для відмови у проведенні депозитарних операцій.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ікові операції: зарахування, списання, переказ цінних паперів. </w:t>
      </w:r>
      <w:bookmarkStart w:id="1" w:name="n59"/>
      <w:bookmarkStart w:id="2" w:name="n63"/>
      <w:bookmarkStart w:id="3" w:name="n64"/>
      <w:bookmarkStart w:id="4" w:name="n67"/>
      <w:bookmarkStart w:id="5" w:name="n68"/>
      <w:bookmarkStart w:id="6" w:name="n71"/>
      <w:bookmarkStart w:id="7" w:name="n72"/>
      <w:bookmarkStart w:id="8" w:name="n79"/>
      <w:bookmarkStart w:id="9" w:name="n8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D2CF2">
        <w:rPr>
          <w:rFonts w:ascii="Times New Roman" w:hAnsi="Times New Roman" w:cs="Times New Roman"/>
          <w:color w:val="000000"/>
        </w:rPr>
        <w:t xml:space="preserve">Вимоги до проведення операцій щодо блокування/розблокування цінних паперів, прав на цінні папери.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Внесення змін до системи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>іку стосовно переказу цінних паперів українських емітентів з рахунку в цінних паперах депозитарної установи на рахунок у цінних паперах депозитарію-кореспондента.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Обслуговування цінних паперів іноземного емітента, що вводяться для обслуговування до депозитарної системи України.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Умови проведення коригувальних операцій в системі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>іку.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Вимоги до здійснення інформаційних операцій у депозитарній системі. </w:t>
      </w:r>
      <w:r w:rsidRPr="006D2CF2">
        <w:rPr>
          <w:rFonts w:ascii="Times New Roman" w:hAnsi="Times New Roman" w:cs="Times New Roman"/>
          <w:color w:val="000000"/>
        </w:rPr>
        <w:t xml:space="preserve">Виписки, довідки з рахунку у цінних паперах. Виписки, довідки про операції з цінними паперами. Інформаційні довідки, що надаються </w:t>
      </w:r>
      <w:proofErr w:type="gramStart"/>
      <w:r w:rsidRPr="006D2CF2">
        <w:rPr>
          <w:rFonts w:ascii="Times New Roman" w:hAnsi="Times New Roman" w:cs="Times New Roman"/>
          <w:color w:val="000000"/>
        </w:rPr>
        <w:t>депозитарною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установою своїм депонентам, клієнтам.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2009BD" w:rsidRPr="006D2CF2" w:rsidRDefault="002009BD" w:rsidP="006D2CF2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D2CF2">
        <w:rPr>
          <w:rFonts w:ascii="Times New Roman" w:hAnsi="Times New Roman" w:cs="Times New Roman"/>
          <w:color w:val="000000"/>
          <w:sz w:val="22"/>
          <w:szCs w:val="22"/>
        </w:rPr>
        <w:t xml:space="preserve">Тема 5. Умови та порядок унесення змін до системи депозитарного </w:t>
      </w:r>
      <w:proofErr w:type="gramStart"/>
      <w:r w:rsidRPr="006D2CF2">
        <w:rPr>
          <w:rFonts w:ascii="Times New Roman" w:hAnsi="Times New Roman" w:cs="Times New Roman"/>
          <w:color w:val="000000"/>
          <w:sz w:val="22"/>
          <w:szCs w:val="22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  <w:sz w:val="22"/>
          <w:szCs w:val="22"/>
        </w:rPr>
        <w:t>іку при обслуговуванні корпоративних операцій емітента</w:t>
      </w:r>
    </w:p>
    <w:p w:rsidR="002009BD" w:rsidRPr="006D2CF2" w:rsidRDefault="002009BD" w:rsidP="006D2CF2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D2CF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Кількість годин - 4 </w:t>
      </w:r>
    </w:p>
    <w:p w:rsidR="002009BD" w:rsidRPr="006D2CF2" w:rsidRDefault="002009BD" w:rsidP="006D2CF2">
      <w:pPr>
        <w:pStyle w:val="21"/>
        <w:ind w:firstLine="720"/>
        <w:rPr>
          <w:color w:val="000000"/>
          <w:sz w:val="22"/>
          <w:szCs w:val="22"/>
          <w:lang w:val="ru-RU"/>
        </w:rPr>
      </w:pPr>
      <w:r w:rsidRPr="006D2CF2">
        <w:rPr>
          <w:color w:val="000000"/>
          <w:sz w:val="22"/>
          <w:szCs w:val="22"/>
        </w:rPr>
        <w:t xml:space="preserve">Порядок організації обліку розміщення випуску цінних паперів. Порядок депонування тимчасового глобального сертифіката та глобального сертифіката. Порядок зарахування розміщених ЦП на рахунки у цінних паперів. Особливості зарахування на рахунки у цінних паперів ЦП, що розміщені на фондовій біржі або поза фондовою біржею. Особливості обслуговування Центральним депозитарієм та депозитарними установами розміщення окремих видів ЦП.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Обслуговування депозитарними установами виплати емітентом доході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за цінними паперами.</w:t>
      </w:r>
      <w:r w:rsidRPr="006D2CF2">
        <w:rPr>
          <w:rFonts w:ascii="Times New Roman" w:hAnsi="Times New Roman" w:cs="Times New Roman"/>
          <w:color w:val="000000"/>
          <w:shd w:val="clear" w:color="auto" w:fill="FFFFFF"/>
        </w:rPr>
        <w:t xml:space="preserve"> Погашення боргових цінних паперів.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bookmarkStart w:id="10" w:name="n144"/>
      <w:bookmarkStart w:id="11" w:name="n145"/>
      <w:bookmarkStart w:id="12" w:name="n146"/>
      <w:bookmarkEnd w:id="10"/>
      <w:bookmarkEnd w:id="11"/>
      <w:bookmarkEnd w:id="12"/>
      <w:r w:rsidRPr="006D2CF2">
        <w:rPr>
          <w:rFonts w:ascii="Times New Roman" w:hAnsi="Times New Roman" w:cs="Times New Roman"/>
          <w:color w:val="000000"/>
        </w:rPr>
        <w:t xml:space="preserve">Порядок обслуговування корпоративних операцій емітента щодо викупу ЦП, деномінації ЦП, зміни номінальної вартості ЦП, що не </w:t>
      </w:r>
      <w:proofErr w:type="gramStart"/>
      <w:r w:rsidRPr="006D2CF2">
        <w:rPr>
          <w:rFonts w:ascii="Times New Roman" w:hAnsi="Times New Roman" w:cs="Times New Roman"/>
          <w:color w:val="000000"/>
        </w:rPr>
        <w:t>пов’язана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з деномінацією, анулювання ЦП, конвертації ЦП при реорганізації акціонерних товариств.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Вимоги Комісії щодо складання реєстру власників іменних цінних паперів та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ікового реєстру власників ЦП, запиту на їх складання, визначення дати обліку.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lang w:val="uk-UA"/>
        </w:rPr>
      </w:pP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>Тема 6.</w:t>
      </w:r>
      <w:r w:rsidRPr="006D2CF2">
        <w:rPr>
          <w:rFonts w:ascii="Times New Roman" w:hAnsi="Times New Roman" w:cs="Times New Roman"/>
          <w:color w:val="000000"/>
        </w:rPr>
        <w:t xml:space="preserve"> </w:t>
      </w:r>
      <w:r w:rsidRPr="006D2CF2">
        <w:rPr>
          <w:rFonts w:ascii="Times New Roman" w:hAnsi="Times New Roman" w:cs="Times New Roman"/>
          <w:b/>
          <w:color w:val="000000"/>
        </w:rPr>
        <w:t xml:space="preserve">Вимоги Комісії щодо складання та подання 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адм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>іністративних даних щодо здійснення депозитарної діяльності депозитарними установами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Кількість годин – 2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Порядок складання та подання </w:t>
      </w:r>
      <w:proofErr w:type="gramStart"/>
      <w:r w:rsidRPr="006D2CF2">
        <w:rPr>
          <w:rFonts w:ascii="Times New Roman" w:hAnsi="Times New Roman" w:cs="Times New Roman"/>
          <w:color w:val="000000"/>
        </w:rPr>
        <w:t>адм</w:t>
      </w:r>
      <w:proofErr w:type="gramEnd"/>
      <w:r w:rsidRPr="006D2CF2">
        <w:rPr>
          <w:rFonts w:ascii="Times New Roman" w:hAnsi="Times New Roman" w:cs="Times New Roman"/>
          <w:color w:val="000000"/>
        </w:rPr>
        <w:t>іністративних даних щодо здійснення депозитарної діяльності депозитарними установами: види даних, що подаються депозитарними установами до Комісії; порядок подання адміністративних даних; державний контроль за складанням та поданням адміністративних даних.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Система класифікаторів та довідників Національної комісії з цінних паперів та </w:t>
      </w:r>
      <w:proofErr w:type="gramStart"/>
      <w:r w:rsidRPr="006D2CF2">
        <w:rPr>
          <w:rFonts w:ascii="Times New Roman" w:hAnsi="Times New Roman" w:cs="Times New Roman"/>
          <w:color w:val="000000"/>
        </w:rPr>
        <w:t>фондового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ринку.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>Тема 7. Порядок</w:t>
      </w:r>
      <w:r w:rsidRPr="006D2CF2">
        <w:rPr>
          <w:rFonts w:ascii="Times New Roman" w:hAnsi="Times New Roman" w:cs="Times New Roman"/>
          <w:color w:val="000000"/>
        </w:rPr>
        <w:t xml:space="preserve"> </w:t>
      </w:r>
      <w:r w:rsidRPr="006D2CF2">
        <w:rPr>
          <w:rFonts w:ascii="Times New Roman" w:hAnsi="Times New Roman" w:cs="Times New Roman"/>
          <w:b/>
          <w:color w:val="000000"/>
        </w:rPr>
        <w:t xml:space="preserve">дій депозитарної установи 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у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 xml:space="preserve"> разі припинення провадження депозитарної діяльності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Кількість годин – 2   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Порядок дій депозитарної установи у разі припинення депозитарною установою провадження професійної діяльності на фондовому ринку – депозитарної діяльності. Вимоги Комісії до в</w:t>
      </w:r>
      <w:r w:rsidRPr="006D2CF2">
        <w:rPr>
          <w:rFonts w:ascii="Times New Roman" w:hAnsi="Times New Roman" w:cs="Times New Roman"/>
          <w:color w:val="000000"/>
          <w:lang w:eastAsia="uk-UA"/>
        </w:rPr>
        <w:t xml:space="preserve">изначення особи, яка забезпечуватиме подальший </w:t>
      </w:r>
      <w:proofErr w:type="gramStart"/>
      <w:r w:rsidRPr="006D2CF2">
        <w:rPr>
          <w:rFonts w:ascii="Times New Roman" w:hAnsi="Times New Roman" w:cs="Times New Roman"/>
          <w:color w:val="000000"/>
          <w:lang w:eastAsia="uk-UA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  <w:lang w:eastAsia="uk-UA"/>
        </w:rPr>
        <w:t>ік та обслуговування прав на</w:t>
      </w:r>
      <w:r w:rsidRPr="006D2CF2">
        <w:rPr>
          <w:rFonts w:ascii="Times New Roman" w:hAnsi="Times New Roman" w:cs="Times New Roman"/>
          <w:b/>
          <w:color w:val="000000"/>
          <w:lang w:eastAsia="uk-UA"/>
        </w:rPr>
        <w:t xml:space="preserve"> </w:t>
      </w:r>
      <w:r w:rsidRPr="006D2CF2">
        <w:rPr>
          <w:rFonts w:ascii="Times New Roman" w:hAnsi="Times New Roman" w:cs="Times New Roman"/>
          <w:color w:val="000000"/>
          <w:lang w:eastAsia="uk-UA"/>
        </w:rPr>
        <w:t xml:space="preserve">ЦП депонентів, що в установленому порядку не закрили свої рахунки в цінних паперах у депозитарної установи </w:t>
      </w:r>
      <w:r w:rsidRPr="006D2CF2">
        <w:rPr>
          <w:rFonts w:ascii="Times New Roman" w:hAnsi="Times New Roman" w:cs="Times New Roman"/>
          <w:color w:val="000000"/>
        </w:rPr>
        <w:t xml:space="preserve">у разі припинення нею провадження професійної діяльності </w:t>
      </w:r>
      <w:proofErr w:type="gramStart"/>
      <w:r w:rsidRPr="006D2CF2">
        <w:rPr>
          <w:rFonts w:ascii="Times New Roman" w:hAnsi="Times New Roman" w:cs="Times New Roman"/>
          <w:color w:val="000000"/>
        </w:rPr>
        <w:t>на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фондовому ринку</w:t>
      </w:r>
      <w:r w:rsidRPr="006D2CF2">
        <w:rPr>
          <w:rFonts w:ascii="Times New Roman" w:hAnsi="Times New Roman" w:cs="Times New Roman"/>
          <w:color w:val="000000"/>
          <w:lang w:eastAsia="uk-UA"/>
        </w:rPr>
        <w:t>.</w:t>
      </w:r>
      <w:r w:rsidRPr="006D2CF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D2CF2">
        <w:rPr>
          <w:rFonts w:ascii="Times New Roman" w:hAnsi="Times New Roman" w:cs="Times New Roman"/>
          <w:color w:val="000000"/>
        </w:rPr>
        <w:t>Посл</w:t>
      </w:r>
      <w:proofErr w:type="gramEnd"/>
      <w:r w:rsidRPr="006D2CF2">
        <w:rPr>
          <w:rFonts w:ascii="Times New Roman" w:hAnsi="Times New Roman" w:cs="Times New Roman"/>
          <w:color w:val="000000"/>
        </w:rPr>
        <w:t>ідовність дій депозитарної установи у разі передання баз даних та документів уповноваженому на зберігання. Порядок приймання уповноваженим на зберігання баз даних, копії баз даних, архіві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баз даних та документів від депозитарної установи, що припиняє провадження професійної діяльності на фондовому ринку. </w:t>
      </w:r>
    </w:p>
    <w:p w:rsidR="002009BD" w:rsidRPr="006D2CF2" w:rsidRDefault="002009BD" w:rsidP="006D2C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>Тема 8. Організація діяльності Центрального депозитарію та депозитарної установи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</w:rPr>
        <w:t>Кількість годин –</w:t>
      </w:r>
      <w:r w:rsidRPr="006D2CF2">
        <w:rPr>
          <w:rFonts w:ascii="Times New Roman" w:hAnsi="Times New Roman" w:cs="Times New Roman"/>
          <w:b/>
          <w:caps/>
          <w:color w:val="000000"/>
        </w:rPr>
        <w:t xml:space="preserve"> 2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Вимоги </w:t>
      </w:r>
      <w:proofErr w:type="gramStart"/>
      <w:r w:rsidRPr="006D2CF2">
        <w:rPr>
          <w:rFonts w:ascii="Times New Roman" w:hAnsi="Times New Roman" w:cs="Times New Roman"/>
          <w:color w:val="000000"/>
        </w:rPr>
        <w:t>до кер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івників та працівників Центрального депозитарію та депозитарної установи. Умови та порядок зберігання та захисту інформації системи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>іку.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Внутрішні документи Центрального депозитарію та депозитарної установи. Вимоги до програмного та </w:t>
      </w:r>
      <w:proofErr w:type="gramStart"/>
      <w:r w:rsidRPr="006D2CF2">
        <w:rPr>
          <w:rFonts w:ascii="Times New Roman" w:hAnsi="Times New Roman" w:cs="Times New Roman"/>
          <w:color w:val="000000"/>
        </w:rPr>
        <w:t>техн</w:t>
      </w:r>
      <w:proofErr w:type="gramEnd"/>
      <w:r w:rsidRPr="006D2CF2">
        <w:rPr>
          <w:rFonts w:ascii="Times New Roman" w:hAnsi="Times New Roman" w:cs="Times New Roman"/>
          <w:color w:val="000000"/>
        </w:rPr>
        <w:t>ічного забезпечення Центрального депозитарію та депозитарної установи. Операційний день Центрального депозитарію та депозитарної установи. Порядок взаємодії Центрального депозитарію з депозитарними установами.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Вимоги та змі</w:t>
      </w:r>
      <w:proofErr w:type="gramStart"/>
      <w:r w:rsidRPr="006D2CF2">
        <w:rPr>
          <w:rFonts w:ascii="Times New Roman" w:hAnsi="Times New Roman" w:cs="Times New Roman"/>
          <w:color w:val="000000"/>
        </w:rPr>
        <w:t>ст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внутрішніх документів депозитарної установи: положення про депозитарну діяльність; документа, що визначає </w:t>
      </w:r>
      <w:bookmarkStart w:id="13" w:name="n1015"/>
      <w:bookmarkEnd w:id="13"/>
      <w:r w:rsidRPr="006D2CF2">
        <w:rPr>
          <w:rFonts w:ascii="Times New Roman" w:hAnsi="Times New Roman" w:cs="Times New Roman"/>
          <w:color w:val="000000"/>
        </w:rPr>
        <w:t xml:space="preserve">порядок здійснення внутрішнього аудиту (контролю) при провадженні депозитарної діяльності; </w:t>
      </w:r>
      <w:bookmarkStart w:id="14" w:name="n1016"/>
      <w:bookmarkEnd w:id="14"/>
      <w:r w:rsidRPr="006D2CF2">
        <w:rPr>
          <w:rFonts w:ascii="Times New Roman" w:hAnsi="Times New Roman" w:cs="Times New Roman"/>
          <w:color w:val="000000"/>
        </w:rPr>
        <w:t>документа, що визначає систему управління ризиками при провадженні депозитарної діяльності.</w:t>
      </w:r>
    </w:p>
    <w:p w:rsidR="002009BD" w:rsidRPr="006D2CF2" w:rsidRDefault="002009BD" w:rsidP="006D2CF2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>Внутрішнє положення про депозитарну діяльність депозитарної установи:</w:t>
      </w:r>
      <w:bookmarkStart w:id="15" w:name="n1018"/>
      <w:bookmarkEnd w:id="15"/>
      <w:r w:rsidRPr="006D2CF2">
        <w:rPr>
          <w:color w:val="000000"/>
          <w:sz w:val="22"/>
          <w:szCs w:val="22"/>
        </w:rPr>
        <w:t xml:space="preserve"> організаційно-функціональна схема підрозділів депозитарної установи та їх завдання</w:t>
      </w:r>
      <w:bookmarkStart w:id="16" w:name="n1019"/>
      <w:bookmarkEnd w:id="16"/>
      <w:r w:rsidRPr="006D2CF2">
        <w:rPr>
          <w:color w:val="000000"/>
          <w:sz w:val="22"/>
          <w:szCs w:val="22"/>
        </w:rPr>
        <w:t xml:space="preserve">; форми вхідних та вихідних документів; </w:t>
      </w:r>
      <w:bookmarkStart w:id="17" w:name="n1020"/>
      <w:bookmarkStart w:id="18" w:name="n1021"/>
      <w:bookmarkEnd w:id="17"/>
      <w:bookmarkEnd w:id="18"/>
      <w:r w:rsidRPr="006D2CF2">
        <w:rPr>
          <w:color w:val="000000"/>
          <w:sz w:val="22"/>
          <w:szCs w:val="22"/>
        </w:rPr>
        <w:t xml:space="preserve">порядок відкриття та закриття рахунку в цінних паперах; </w:t>
      </w:r>
      <w:bookmarkStart w:id="19" w:name="n1022"/>
      <w:bookmarkStart w:id="20" w:name="n1023"/>
      <w:bookmarkEnd w:id="19"/>
      <w:bookmarkEnd w:id="20"/>
      <w:r w:rsidRPr="006D2CF2">
        <w:rPr>
          <w:color w:val="000000"/>
          <w:sz w:val="22"/>
          <w:szCs w:val="22"/>
        </w:rPr>
        <w:t xml:space="preserve">внесення змін до анкети рахунку в цінних паперах; порядок оформлення, подання та приймання розпоряджень і документів від депонентів; </w:t>
      </w:r>
      <w:bookmarkStart w:id="21" w:name="n1024"/>
      <w:bookmarkStart w:id="22" w:name="n1025"/>
      <w:bookmarkEnd w:id="21"/>
      <w:bookmarkEnd w:id="22"/>
      <w:r w:rsidRPr="006D2CF2">
        <w:rPr>
          <w:color w:val="000000"/>
          <w:sz w:val="22"/>
          <w:szCs w:val="22"/>
        </w:rPr>
        <w:t xml:space="preserve">порядок надання депонентам відповідної інформації, </w:t>
      </w:r>
      <w:bookmarkStart w:id="23" w:name="n1026"/>
      <w:bookmarkEnd w:id="23"/>
      <w:r w:rsidRPr="006D2CF2">
        <w:rPr>
          <w:color w:val="000000"/>
          <w:sz w:val="22"/>
          <w:szCs w:val="22"/>
        </w:rPr>
        <w:t xml:space="preserve">порядок проведення депозитарних операцій; облік прав на цінні папери; відображення корпоративних операцій емітента. </w:t>
      </w:r>
    </w:p>
    <w:p w:rsidR="002009BD" w:rsidRPr="006D2CF2" w:rsidRDefault="002009BD" w:rsidP="006D2CF2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2"/>
          <w:szCs w:val="22"/>
        </w:rPr>
      </w:pPr>
      <w:bookmarkStart w:id="24" w:name="n1037"/>
      <w:bookmarkEnd w:id="24"/>
      <w:r w:rsidRPr="006D2CF2">
        <w:rPr>
          <w:color w:val="000000"/>
          <w:sz w:val="22"/>
          <w:szCs w:val="22"/>
        </w:rPr>
        <w:t xml:space="preserve">Система управління ризиками при провадженні депозитарної діяльності: </w:t>
      </w:r>
      <w:bookmarkStart w:id="25" w:name="n1038"/>
      <w:bookmarkEnd w:id="25"/>
      <w:r w:rsidRPr="006D2CF2">
        <w:rPr>
          <w:color w:val="000000"/>
          <w:sz w:val="22"/>
          <w:szCs w:val="22"/>
        </w:rPr>
        <w:t xml:space="preserve">ризики, які виникають при провадженні депозитарної діяльності; </w:t>
      </w:r>
      <w:bookmarkStart w:id="26" w:name="n1039"/>
      <w:bookmarkStart w:id="27" w:name="n1040"/>
      <w:bookmarkEnd w:id="26"/>
      <w:bookmarkEnd w:id="27"/>
      <w:r w:rsidRPr="006D2CF2">
        <w:rPr>
          <w:color w:val="000000"/>
          <w:sz w:val="22"/>
          <w:szCs w:val="22"/>
        </w:rPr>
        <w:t xml:space="preserve">методи вимірювання та оцінювання ризиків; </w:t>
      </w:r>
      <w:bookmarkStart w:id="28" w:name="n1041"/>
      <w:bookmarkEnd w:id="28"/>
      <w:r w:rsidRPr="006D2CF2">
        <w:rPr>
          <w:color w:val="000000"/>
          <w:sz w:val="22"/>
          <w:szCs w:val="22"/>
        </w:rPr>
        <w:t>заходи щодо зниження ризиків</w:t>
      </w:r>
      <w:bookmarkStart w:id="29" w:name="n1042"/>
      <w:bookmarkStart w:id="30" w:name="n1043"/>
      <w:bookmarkEnd w:id="29"/>
      <w:bookmarkEnd w:id="30"/>
      <w:r w:rsidRPr="006D2CF2">
        <w:rPr>
          <w:color w:val="000000"/>
          <w:sz w:val="22"/>
          <w:szCs w:val="22"/>
        </w:rPr>
        <w:t>; моделювання та прогнозування майбутніх результатів від  депозитарної діяльності.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bookmarkStart w:id="31" w:name="n1027"/>
      <w:bookmarkStart w:id="32" w:name="n1028"/>
      <w:bookmarkStart w:id="33" w:name="n1029"/>
      <w:bookmarkStart w:id="34" w:name="n1030"/>
      <w:bookmarkStart w:id="35" w:name="n1031"/>
      <w:bookmarkStart w:id="36" w:name="n1032"/>
      <w:bookmarkStart w:id="37" w:name="n1033"/>
      <w:bookmarkStart w:id="38" w:name="n1034"/>
      <w:bookmarkStart w:id="39" w:name="n1035"/>
      <w:bookmarkStart w:id="40" w:name="n34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6D2CF2">
        <w:rPr>
          <w:rFonts w:ascii="Times New Roman" w:hAnsi="Times New Roman" w:cs="Times New Roman"/>
          <w:color w:val="000000"/>
        </w:rPr>
        <w:t xml:space="preserve">Доступ, розкриття на нерозголошення інформації, що міститься у системі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іку. Порядок та строк подання депозитарними установами відповідної інформації. Відповідальність за порушення порядку розкриття та використання інформації, що міститься у системі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>іку.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Тема 9. Ліцензійні умови провадження професійної діяльності 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 xml:space="preserve"> фондовому ринку - депозитарної діяльності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  <w:lang w:val="uk-UA"/>
        </w:rPr>
        <w:t>Кількість годин –</w:t>
      </w:r>
      <w:r w:rsidRPr="006D2CF2">
        <w:rPr>
          <w:rFonts w:ascii="Times New Roman" w:hAnsi="Times New Roman" w:cs="Times New Roman"/>
          <w:b/>
          <w:caps/>
          <w:color w:val="000000"/>
          <w:lang w:val="uk-UA"/>
        </w:rPr>
        <w:t xml:space="preserve"> 4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  <w:lang w:val="uk-UA"/>
        </w:rPr>
        <w:t>Загальні вимоги до процедури отримання ліцензі</w:t>
      </w:r>
      <w:r w:rsidRPr="006D2CF2">
        <w:rPr>
          <w:rFonts w:ascii="Times New Roman" w:hAnsi="Times New Roman" w:cs="Times New Roman"/>
          <w:color w:val="000000"/>
          <w:u w:val="single"/>
          <w:lang w:val="uk-UA"/>
        </w:rPr>
        <w:t>ї</w:t>
      </w:r>
      <w:r w:rsidRPr="006D2CF2">
        <w:rPr>
          <w:rFonts w:ascii="Times New Roman" w:hAnsi="Times New Roman" w:cs="Times New Roman"/>
          <w:color w:val="000000"/>
          <w:lang w:val="uk-UA"/>
        </w:rPr>
        <w:t xml:space="preserve"> на провадження професійної діяльності на фондовому ринку – депозитарної діяльності та клірингової діяльності. Порядок та умови видачі ліцензії на провадження окремих видів професійної діяльності на фондовому ринку, переоформлення ліцензії, видачі дубліката та копії ліцензії. </w:t>
      </w:r>
      <w:r w:rsidRPr="006D2CF2">
        <w:rPr>
          <w:rFonts w:ascii="Times New Roman" w:hAnsi="Times New Roman" w:cs="Times New Roman"/>
          <w:color w:val="000000"/>
        </w:rPr>
        <w:t xml:space="preserve">Ліцензійні умови провадження професійної діяльності </w:t>
      </w:r>
      <w:proofErr w:type="gramStart"/>
      <w:r w:rsidRPr="006D2CF2">
        <w:rPr>
          <w:rFonts w:ascii="Times New Roman" w:hAnsi="Times New Roman" w:cs="Times New Roman"/>
          <w:color w:val="000000"/>
        </w:rPr>
        <w:t>на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фондовому ринку (ринку цінних паперів) депозитарними установами. </w:t>
      </w:r>
      <w:proofErr w:type="gramStart"/>
      <w:r w:rsidRPr="006D2CF2">
        <w:rPr>
          <w:rFonts w:ascii="Times New Roman" w:hAnsi="Times New Roman" w:cs="Times New Roman"/>
          <w:color w:val="000000"/>
        </w:rPr>
        <w:t>П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ідстави та процедура анулювання ліцензії. Порядок зупинення дії та анулювання ліцензії на окремі види професійної діяльності на фондовому ринку (депозитарна діяльність, клірингова діяльність). Відповідальність за порушення вимог законодавства з питань депозитарної діяльності, клірингової діяльності. Державний контроль за дотриманням професійними учасниками депозитарної системи Ліцензійних умов.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Організаційно-технічне забезпечення діяльності депозитарної установи: приміщення, сховища, комп’ютерна </w:t>
      </w:r>
      <w:proofErr w:type="gramStart"/>
      <w:r w:rsidRPr="006D2CF2">
        <w:rPr>
          <w:rFonts w:ascii="Times New Roman" w:hAnsi="Times New Roman" w:cs="Times New Roman"/>
          <w:color w:val="000000"/>
        </w:rPr>
        <w:t>техн</w:t>
      </w:r>
      <w:proofErr w:type="gramEnd"/>
      <w:r w:rsidRPr="006D2CF2">
        <w:rPr>
          <w:rFonts w:ascii="Times New Roman" w:hAnsi="Times New Roman" w:cs="Times New Roman"/>
          <w:color w:val="000000"/>
        </w:rPr>
        <w:t>іка і оргтехніка, фахівці.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Вимоги Комісії щодо сертифікації осіб, що здійснюють професійну діяльність з цінними паперами в Україні: умови проходження сертифікації; порядок подання та розгляд документів для отримання сертифіката; відмова у сертифікації; </w:t>
      </w:r>
      <w:proofErr w:type="gramStart"/>
      <w:r w:rsidRPr="006D2CF2">
        <w:rPr>
          <w:rFonts w:ascii="Times New Roman" w:hAnsi="Times New Roman" w:cs="Times New Roman"/>
          <w:color w:val="000000"/>
        </w:rPr>
        <w:t>п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ідстави та порядок анулювання сертифіката.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>Тема 10. Вимоги до здійснення клірингової діяльності та розрахункі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 xml:space="preserve"> за правочинами щодо цінних паперів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Кількість годин – 4  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Поняття клірингової діяльності. Поняття: кліринг, неттінг, особа, що провадить клірингову діяльність, клірингова установа, центральний контрагент, клірингові рахунки, клірингові субрахунки. Вимоги до договорів, що укладаються при здійсненні клірингу та проведенні розрахунків за правочинами щодо цінних паперів: догові</w:t>
      </w:r>
      <w:proofErr w:type="gramStart"/>
      <w:r w:rsidRPr="006D2CF2">
        <w:rPr>
          <w:rFonts w:ascii="Times New Roman" w:hAnsi="Times New Roman" w:cs="Times New Roman"/>
          <w:color w:val="000000"/>
        </w:rPr>
        <w:t>р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про кліринг та розрахунки за правочинами щодо цінних паперів, договір про проведення розрахунків у цінних паперах за результатами клірингу, договір про проведення грошових розрахунків за результатами клірингу.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Функції та компетенція </w:t>
      </w:r>
      <w:proofErr w:type="gramStart"/>
      <w:r w:rsidRPr="006D2CF2">
        <w:rPr>
          <w:rFonts w:ascii="Times New Roman" w:hAnsi="Times New Roman" w:cs="Times New Roman"/>
          <w:color w:val="000000"/>
        </w:rPr>
        <w:t>осіб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, які провадять клірингову діяльність. Внутрішня система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іку особи, що здійснює клірингову діяльність. Провадження клірингової діяльності Правила клірингу. Вимоги до здійснення клірингу. Вимоги </w:t>
      </w:r>
      <w:proofErr w:type="gramStart"/>
      <w:r w:rsidRPr="006D2CF2">
        <w:rPr>
          <w:rFonts w:ascii="Times New Roman" w:hAnsi="Times New Roman" w:cs="Times New Roman"/>
          <w:color w:val="000000"/>
        </w:rPr>
        <w:t>до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організації створення системи зниження ризиків при провадженні клірингової діяльності. Рахунок у цінних паперах клірингової установи та Розрахункового центру. Догові</w:t>
      </w:r>
      <w:proofErr w:type="gramStart"/>
      <w:r w:rsidRPr="006D2CF2">
        <w:rPr>
          <w:rFonts w:ascii="Times New Roman" w:hAnsi="Times New Roman" w:cs="Times New Roman"/>
          <w:color w:val="000000"/>
        </w:rPr>
        <w:t>р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про обслуговування клірингової установи та договір про обслуговування Розрахункового центру.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6D2CF2">
        <w:rPr>
          <w:rFonts w:ascii="Times New Roman" w:hAnsi="Times New Roman" w:cs="Times New Roman"/>
          <w:color w:val="000000"/>
        </w:rPr>
        <w:t>Порядок проведення розрахунків за правочинами щодо цінних паперів. Клірингова відомість.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Порядок обміну документами при проведенні розрахункі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. </w:t>
      </w:r>
    </w:p>
    <w:p w:rsidR="002009BD" w:rsidRPr="006D2CF2" w:rsidRDefault="002009BD" w:rsidP="008708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uk-UA"/>
        </w:rPr>
      </w:pP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Тема 11. Інформаційні технології для здійснення депозитарної діяльності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Кількість годин – 4 </w:t>
      </w:r>
    </w:p>
    <w:p w:rsidR="002009BD" w:rsidRPr="006D2CF2" w:rsidRDefault="002009BD" w:rsidP="006D2CF2">
      <w:pPr>
        <w:pStyle w:val="rvps2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>Електронний документообіг та вимоги щодо зберігання електронних документів у депозитарній системі України. Електронний цифровий підпис. Вимоги до учасників депозитарної системи щодо забезпечення захисту інформації, що міститься у системі депозитарного обліку. Порядок обігу, зберігання та знищення електронних документів, що використовуються професійними учасниками депозитарної системи України.</w:t>
      </w:r>
    </w:p>
    <w:p w:rsidR="002009BD" w:rsidRPr="006D2CF2" w:rsidRDefault="002009BD" w:rsidP="006D2CF2">
      <w:pPr>
        <w:pStyle w:val="rvps2"/>
        <w:spacing w:before="0" w:beforeAutospacing="0" w:after="0" w:afterAutospacing="0"/>
        <w:ind w:firstLine="720"/>
        <w:jc w:val="both"/>
        <w:rPr>
          <w:b/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  <w:shd w:val="clear" w:color="auto" w:fill="FFFFFF"/>
        </w:rPr>
        <w:t>Захист інформації, що міститься в системі депозитарного обліку, при її обробці в інформаційних та інформаційно-телекомунікаційних системах</w:t>
      </w:r>
      <w:r w:rsidRPr="006D2CF2">
        <w:rPr>
          <w:rStyle w:val="apple-converted-space"/>
          <w:color w:val="000000"/>
          <w:sz w:val="22"/>
          <w:szCs w:val="22"/>
          <w:shd w:val="clear" w:color="auto" w:fill="FFFFFF"/>
        </w:rPr>
        <w:t>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Використання програмних продукті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для забезпечення провадження депозитарної діяльності. Практичні особливості роботи з програмними продуктами. </w:t>
      </w:r>
    </w:p>
    <w:p w:rsidR="002009BD" w:rsidRPr="006D2CF2" w:rsidRDefault="002009BD" w:rsidP="006D2C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009BD" w:rsidRPr="006D2CF2" w:rsidRDefault="002009BD" w:rsidP="006D2CF2">
      <w:pPr>
        <w:spacing w:after="0" w:line="240" w:lineRule="auto"/>
        <w:ind w:firstLine="792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>Тема 12. Забезпечення існування цінних папері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 xml:space="preserve"> у бездокументарній формі та переведення випущених емітентом у документарній формі акцій на пред'явника в іменні акції.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Кількість годин – 4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1. Прийняття </w:t>
      </w:r>
      <w:proofErr w:type="gramStart"/>
      <w:r w:rsidRPr="006D2CF2">
        <w:rPr>
          <w:rFonts w:ascii="Times New Roman" w:hAnsi="Times New Roman" w:cs="Times New Roman"/>
          <w:color w:val="000000"/>
        </w:rPr>
        <w:t>р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ішення про забезпечення існування цінних паперів у бездокументарній формі, повідомлення про прийняття такого рішення. Депонування глобального сертифіката та проведення процедури переведення іменних цінних паперів у бездокументарну форму в системі депозитарного </w:t>
      </w:r>
      <w:proofErr w:type="gramStart"/>
      <w:r w:rsidRPr="006D2CF2">
        <w:rPr>
          <w:rFonts w:ascii="Times New Roman" w:hAnsi="Times New Roman" w:cs="Times New Roman"/>
          <w:color w:val="000000"/>
        </w:rPr>
        <w:t>обл</w:t>
      </w:r>
      <w:proofErr w:type="gramEnd"/>
      <w:r w:rsidRPr="006D2CF2">
        <w:rPr>
          <w:rFonts w:ascii="Times New Roman" w:hAnsi="Times New Roman" w:cs="Times New Roman"/>
          <w:color w:val="000000"/>
        </w:rPr>
        <w:t>іку. Порядок передачі реєстру власників іменних цінних паперів та інших документі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до обраної емітентом депозитарної установи.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6D2CF2">
        <w:rPr>
          <w:rFonts w:ascii="Times New Roman" w:hAnsi="Times New Roman" w:cs="Times New Roman"/>
          <w:color w:val="000000"/>
        </w:rPr>
        <w:t>Відкриття емітентом у депозитарній установі рахунків у цінних паперах власникам іменних цінних паперів випуску, що переводиться у бездокументарну форму існування, порядок зарахування прав на іменні цінні папери на рахунки в цінних паперах власників, обслуговування депозитарною установою зазначених рахунків у цінних паперах.</w:t>
      </w:r>
      <w:proofErr w:type="gramEnd"/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Порядок дій емітента та професійних учасників депозитарної системи при розірванні договору про відкриття/обслуговування рахунків у цінних паперах власників цінних паперів 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односторонньому порядку, заміні обраної емітентом депозитарної установи.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6D2CF2">
        <w:rPr>
          <w:rFonts w:ascii="Times New Roman" w:hAnsi="Times New Roman" w:cs="Times New Roman"/>
          <w:color w:val="000000"/>
        </w:rPr>
        <w:t>Посл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ідовність дій емітента під час проведення конвертації акцій на пред’явника. </w:t>
      </w:r>
      <w:proofErr w:type="gramStart"/>
      <w:r w:rsidRPr="006D2CF2">
        <w:rPr>
          <w:rFonts w:ascii="Times New Roman" w:hAnsi="Times New Roman" w:cs="Times New Roman"/>
          <w:color w:val="000000"/>
        </w:rPr>
        <w:t>Р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ішення емітента про підготовку проведення конвертації, повідомлення про підготовку проведення конвертації, рішення емітента про конвертацію. Порядок заміни </w:t>
      </w:r>
      <w:proofErr w:type="gramStart"/>
      <w:r w:rsidRPr="006D2CF2">
        <w:rPr>
          <w:rFonts w:ascii="Times New Roman" w:hAnsi="Times New Roman" w:cs="Times New Roman"/>
          <w:color w:val="000000"/>
        </w:rPr>
        <w:t>св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ідоцтва про реєстрацію випуску акцій внаслідок конвертації. </w:t>
      </w:r>
    </w:p>
    <w:p w:rsidR="002009BD" w:rsidRPr="006D2CF2" w:rsidRDefault="002009BD" w:rsidP="006D2C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Порядок дій емітента, Центрального депозитарію та депозитарних установ </w:t>
      </w:r>
      <w:proofErr w:type="gramStart"/>
      <w:r w:rsidRPr="006D2CF2">
        <w:rPr>
          <w:rFonts w:ascii="Times New Roman" w:hAnsi="Times New Roman" w:cs="Times New Roman"/>
          <w:color w:val="000000"/>
        </w:rPr>
        <w:t>п</w:t>
      </w:r>
      <w:proofErr w:type="gramEnd"/>
      <w:r w:rsidRPr="006D2CF2">
        <w:rPr>
          <w:rFonts w:ascii="Times New Roman" w:hAnsi="Times New Roman" w:cs="Times New Roman"/>
          <w:color w:val="000000"/>
        </w:rPr>
        <w:t>ід час проведення конвертації акцій на пред’явника, після завершення конвертації.</w:t>
      </w:r>
    </w:p>
    <w:p w:rsidR="002009BD" w:rsidRPr="006D2CF2" w:rsidRDefault="002009BD" w:rsidP="006D2C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Тема 13. Особливості обслуговування депозитарною установою інституційних інвесторів.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  <w:lang w:val="uk-UA"/>
        </w:rPr>
        <w:t xml:space="preserve">Кількість годин – 4  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uk-UA"/>
        </w:rPr>
      </w:pPr>
      <w:r w:rsidRPr="006D2CF2">
        <w:rPr>
          <w:rFonts w:ascii="Times New Roman" w:hAnsi="Times New Roman" w:cs="Times New Roman"/>
          <w:color w:val="000000"/>
          <w:lang w:val="uk-UA"/>
        </w:rPr>
        <w:t>Загальні вимоги щодо обслуговування активів інституційних інвесторів.</w:t>
      </w:r>
    </w:p>
    <w:p w:rsidR="002009BD" w:rsidRPr="006D2CF2" w:rsidRDefault="002009BD" w:rsidP="006D2CF2">
      <w:pPr>
        <w:pStyle w:val="3"/>
        <w:spacing w:before="0" w:beforeAutospacing="0" w:after="0" w:afterAutospacing="0"/>
        <w:ind w:firstLine="720"/>
        <w:rPr>
          <w:b w:val="0"/>
          <w:color w:val="000000"/>
          <w:sz w:val="22"/>
          <w:szCs w:val="22"/>
          <w:lang w:val="uk-UA"/>
        </w:rPr>
      </w:pPr>
      <w:r w:rsidRPr="006D2CF2">
        <w:rPr>
          <w:b w:val="0"/>
          <w:color w:val="000000"/>
          <w:sz w:val="22"/>
          <w:szCs w:val="22"/>
          <w:lang w:val="uk-UA"/>
        </w:rPr>
        <w:t xml:space="preserve">Умови та порядок провадження зберігачами інститутів спільного інвестування(ІСІ) діяльності із зберігання активів ІСІ. </w:t>
      </w:r>
      <w:r w:rsidRPr="006D2CF2">
        <w:rPr>
          <w:rStyle w:val="st42"/>
          <w:b w:val="0"/>
          <w:sz w:val="22"/>
          <w:szCs w:val="22"/>
          <w:lang w:val="uk-UA"/>
        </w:rPr>
        <w:t>Вимоги до договору про обслуговування активів ІСІ.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uk-UA"/>
        </w:rPr>
      </w:pPr>
      <w:r w:rsidRPr="006D2CF2">
        <w:rPr>
          <w:rFonts w:ascii="Times New Roman" w:hAnsi="Times New Roman" w:cs="Times New Roman"/>
          <w:color w:val="000000"/>
          <w:lang w:val="uk-UA"/>
        </w:rPr>
        <w:t>Умови та порядок провадження зберігачами недержавних пенсійних фондів (ПФ) діяльності із зберігання активів ПФ.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Здійснення зберігачем</w:t>
      </w:r>
      <w:proofErr w:type="gramStart"/>
      <w:r w:rsidRPr="006D2CF2">
        <w:rPr>
          <w:rFonts w:ascii="Times New Roman" w:hAnsi="Times New Roman" w:cs="Times New Roman"/>
          <w:color w:val="000000"/>
        </w:rPr>
        <w:t xml:space="preserve"> ІС</w:t>
      </w:r>
      <w:proofErr w:type="gramEnd"/>
      <w:r w:rsidRPr="006D2CF2">
        <w:rPr>
          <w:rFonts w:ascii="Times New Roman" w:hAnsi="Times New Roman" w:cs="Times New Roman"/>
          <w:color w:val="000000"/>
        </w:rPr>
        <w:t>І контролю за відповідністю операцій з активами ІСІ вимогам законодавства та документам ІСІ.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Склад і структура активів інституту спільного інвестування. Загальні вимоги щодо складу активів</w:t>
      </w:r>
      <w:proofErr w:type="gramStart"/>
      <w:r w:rsidRPr="006D2CF2">
        <w:rPr>
          <w:rFonts w:ascii="Times New Roman" w:hAnsi="Times New Roman" w:cs="Times New Roman"/>
          <w:color w:val="000000"/>
        </w:rPr>
        <w:t xml:space="preserve"> ІС</w:t>
      </w:r>
      <w:proofErr w:type="gramEnd"/>
      <w:r w:rsidRPr="006D2CF2">
        <w:rPr>
          <w:rFonts w:ascii="Times New Roman" w:hAnsi="Times New Roman" w:cs="Times New Roman"/>
          <w:color w:val="000000"/>
        </w:rPr>
        <w:t>І. Вимоги та обмеження щодо структури активів диверсифікованих ІСІ. Вимоги щодо структури активів недиверсифікованих та венчурних ІСІ.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Вимоги щодо складу та структури </w:t>
      </w:r>
      <w:proofErr w:type="gramStart"/>
      <w:r w:rsidRPr="006D2CF2">
        <w:rPr>
          <w:rFonts w:ascii="Times New Roman" w:hAnsi="Times New Roman" w:cs="Times New Roman"/>
          <w:color w:val="000000"/>
        </w:rPr>
        <w:t>р</w:t>
      </w:r>
      <w:proofErr w:type="gramEnd"/>
      <w:r w:rsidRPr="006D2CF2">
        <w:rPr>
          <w:rFonts w:ascii="Times New Roman" w:hAnsi="Times New Roman" w:cs="Times New Roman"/>
          <w:color w:val="000000"/>
        </w:rPr>
        <w:t>ізновидів спеціалізованих фондів.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Періодичність визначення чистих активів</w:t>
      </w:r>
      <w:proofErr w:type="gramStart"/>
      <w:r w:rsidRPr="006D2CF2">
        <w:rPr>
          <w:rFonts w:ascii="Times New Roman" w:hAnsi="Times New Roman" w:cs="Times New Roman"/>
          <w:color w:val="000000"/>
        </w:rPr>
        <w:t xml:space="preserve"> ІС</w:t>
      </w:r>
      <w:proofErr w:type="gramEnd"/>
      <w:r w:rsidRPr="006D2CF2">
        <w:rPr>
          <w:rFonts w:ascii="Times New Roman" w:hAnsi="Times New Roman" w:cs="Times New Roman"/>
          <w:color w:val="000000"/>
        </w:rPr>
        <w:t>І.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Склад та структура активів пенсійних фондів. Використання пенсійних активів. Загальні обмеження інвестиційної діяльності з пенсійними активами пенсійного фонду.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Обов’язки зберігача ПФ. Вимоги </w:t>
      </w:r>
      <w:proofErr w:type="gramStart"/>
      <w:r w:rsidRPr="006D2CF2">
        <w:rPr>
          <w:rFonts w:ascii="Times New Roman" w:hAnsi="Times New Roman" w:cs="Times New Roman"/>
          <w:color w:val="000000"/>
        </w:rPr>
        <w:t>до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D2CF2">
        <w:rPr>
          <w:rFonts w:ascii="Times New Roman" w:hAnsi="Times New Roman" w:cs="Times New Roman"/>
          <w:color w:val="000000"/>
        </w:rPr>
        <w:t>договору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про обслуговування ПФ. Перевірка розрахунку чистої вартості активів ПФ і чистої вартості одиниці пенсійних внескі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6D2CF2">
        <w:rPr>
          <w:rFonts w:ascii="Times New Roman" w:hAnsi="Times New Roman" w:cs="Times New Roman"/>
          <w:color w:val="000000"/>
        </w:rPr>
        <w:t>Зам</w:t>
      </w:r>
      <w:proofErr w:type="gramEnd"/>
      <w:r w:rsidRPr="006D2CF2">
        <w:rPr>
          <w:rFonts w:ascii="Times New Roman" w:hAnsi="Times New Roman" w:cs="Times New Roman"/>
          <w:color w:val="000000"/>
        </w:rPr>
        <w:t>іна особи, що провадить діяльність з управління активами ПФ. Відповідальність зберігача ПФ.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Порядок і періодичність визначення чистих активів</w:t>
      </w:r>
      <w:proofErr w:type="gramStart"/>
      <w:r w:rsidRPr="006D2CF2">
        <w:rPr>
          <w:rFonts w:ascii="Times New Roman" w:hAnsi="Times New Roman" w:cs="Times New Roman"/>
          <w:color w:val="000000"/>
        </w:rPr>
        <w:t xml:space="preserve"> ІС</w:t>
      </w:r>
      <w:proofErr w:type="gramEnd"/>
      <w:r w:rsidRPr="006D2CF2">
        <w:rPr>
          <w:rFonts w:ascii="Times New Roman" w:hAnsi="Times New Roman" w:cs="Times New Roman"/>
          <w:color w:val="000000"/>
        </w:rPr>
        <w:t>І та ПФ. Оформлення результату розрахунку чистих активі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>.</w:t>
      </w:r>
    </w:p>
    <w:p w:rsidR="002009BD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87088F" w:rsidRPr="006D2CF2" w:rsidRDefault="0087088F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1" w:name="_GoBack"/>
      <w:bookmarkEnd w:id="41"/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bCs/>
          <w:color w:val="000000"/>
        </w:rPr>
        <w:t xml:space="preserve">Тема 14. </w:t>
      </w:r>
      <w:r w:rsidRPr="006D2CF2">
        <w:rPr>
          <w:rFonts w:ascii="Times New Roman" w:hAnsi="Times New Roman" w:cs="Times New Roman"/>
          <w:b/>
          <w:color w:val="000000"/>
        </w:rPr>
        <w:t>Оцінювання вартості фінансових активі</w:t>
      </w:r>
      <w:proofErr w:type="gramStart"/>
      <w:r w:rsidRPr="006D2CF2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b/>
          <w:color w:val="000000"/>
        </w:rPr>
        <w:t xml:space="preserve"> 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 xml:space="preserve">Кількість годин – 4   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Основні </w:t>
      </w:r>
      <w:proofErr w:type="gramStart"/>
      <w:r w:rsidRPr="006D2CF2">
        <w:rPr>
          <w:rFonts w:ascii="Times New Roman" w:hAnsi="Times New Roman" w:cs="Times New Roman"/>
          <w:color w:val="000000"/>
        </w:rPr>
        <w:t>п</w:t>
      </w:r>
      <w:proofErr w:type="gramEnd"/>
      <w:r w:rsidRPr="006D2CF2">
        <w:rPr>
          <w:rFonts w:ascii="Times New Roman" w:hAnsi="Times New Roman" w:cs="Times New Roman"/>
          <w:color w:val="000000"/>
        </w:rPr>
        <w:t>ідходи до оцінювання активів згідно зі стандартами оціночної діяльності: витратний, дохідний, порівняльний.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Загальні теоретичні засади оцінювання фінансових активів. Фундаментальний та </w:t>
      </w:r>
      <w:proofErr w:type="gramStart"/>
      <w:r w:rsidRPr="006D2CF2">
        <w:rPr>
          <w:rFonts w:ascii="Times New Roman" w:hAnsi="Times New Roman" w:cs="Times New Roman"/>
          <w:color w:val="000000"/>
        </w:rPr>
        <w:t>техн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ічний  аналіз на фондовому ринку. 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Вартість грошей </w:t>
      </w:r>
      <w:proofErr w:type="gramStart"/>
      <w:r w:rsidRPr="006D2CF2">
        <w:rPr>
          <w:rFonts w:ascii="Times New Roman" w:hAnsi="Times New Roman" w:cs="Times New Roman"/>
          <w:color w:val="000000"/>
        </w:rPr>
        <w:t>у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часі. Прості та складні проценти. Теперішня та майбутня вартість. Поняття дисконтування та дисконтної ставки. Рента. Ануїтет. Приведена вартість ануїтету. Фінансові розрахунки з використанням формул ануїтету.</w:t>
      </w:r>
    </w:p>
    <w:p w:rsidR="002009BD" w:rsidRPr="006D2CF2" w:rsidRDefault="002009BD" w:rsidP="006D2CF2">
      <w:pPr>
        <w:pStyle w:val="21"/>
        <w:ind w:firstLine="709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 xml:space="preserve">Вартісні характеристики цінних паперів – номінальна вартість, ринкова ціна, внутрішня теоретична вартість цінного паперу. Розрахунок балансової («бухгалтерської») вартості акцій – власний капітал на акцію. Оцінка основних інвестиційних якостей цінних паперів – ризику, дохідності, ліквідності. </w:t>
      </w:r>
    </w:p>
    <w:p w:rsidR="002009BD" w:rsidRPr="006D2CF2" w:rsidRDefault="002009BD" w:rsidP="006D2CF2">
      <w:pPr>
        <w:pStyle w:val="21"/>
        <w:ind w:firstLine="709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 xml:space="preserve">Оцінка вартості облігацій. Дохідність облігації: поточна, до терміну погашення. </w:t>
      </w:r>
    </w:p>
    <w:p w:rsidR="002009BD" w:rsidRPr="006D2CF2" w:rsidRDefault="002009BD" w:rsidP="006D2CF2">
      <w:pPr>
        <w:pStyle w:val="21"/>
        <w:ind w:firstLine="709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 xml:space="preserve">Оцінка вартості акцій. Моделі оцінки акцій в залежності від дивідендної політики емітента. </w:t>
      </w:r>
    </w:p>
    <w:p w:rsidR="002009BD" w:rsidRPr="006D2CF2" w:rsidRDefault="002009BD" w:rsidP="006D2CF2">
      <w:pPr>
        <w:pStyle w:val="21"/>
        <w:ind w:firstLine="709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>Оцінка похідних фінансових інструментів.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  <w:lang w:val="uk-UA"/>
        </w:rPr>
        <w:t xml:space="preserve">Оцінка доцільності інвестування. </w:t>
      </w:r>
      <w:r w:rsidRPr="006D2CF2">
        <w:rPr>
          <w:rFonts w:ascii="Times New Roman" w:hAnsi="Times New Roman" w:cs="Times New Roman"/>
          <w:color w:val="000000"/>
        </w:rPr>
        <w:t>Чистий приведений дохід. Внутрішня норма доходності.</w:t>
      </w:r>
    </w:p>
    <w:p w:rsidR="002009BD" w:rsidRPr="006D2CF2" w:rsidRDefault="002009BD" w:rsidP="006D2CF2">
      <w:pPr>
        <w:pStyle w:val="21"/>
        <w:ind w:firstLine="709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>Поняття ризику. Фінансові ризики. Показники визначення ризику та дохідності фінансових інструментів та інвестиційного портфеля.</w:t>
      </w:r>
    </w:p>
    <w:p w:rsidR="002009BD" w:rsidRPr="006D2CF2" w:rsidRDefault="002009BD" w:rsidP="006D2CF2">
      <w:pPr>
        <w:pStyle w:val="21"/>
        <w:ind w:firstLine="709"/>
        <w:rPr>
          <w:color w:val="000000"/>
          <w:sz w:val="22"/>
          <w:szCs w:val="22"/>
        </w:rPr>
      </w:pPr>
      <w:r w:rsidRPr="006D2CF2">
        <w:rPr>
          <w:color w:val="000000"/>
          <w:sz w:val="22"/>
          <w:szCs w:val="22"/>
        </w:rPr>
        <w:t>Визначення вартості чистих активів інститутів спільного інвестування. Оцінка чистої вартості активів недержавних пенсійних фондів.</w:t>
      </w:r>
    </w:p>
    <w:p w:rsidR="002009BD" w:rsidRPr="006D2CF2" w:rsidRDefault="002009BD" w:rsidP="006D2CF2">
      <w:pPr>
        <w:pStyle w:val="3"/>
        <w:spacing w:before="0" w:beforeAutospacing="0" w:after="0" w:afterAutospacing="0"/>
        <w:ind w:firstLine="720"/>
        <w:rPr>
          <w:bCs w:val="0"/>
          <w:color w:val="000000"/>
          <w:sz w:val="22"/>
          <w:szCs w:val="22"/>
          <w:lang w:val="uk-UA"/>
        </w:rPr>
      </w:pPr>
      <w:r w:rsidRPr="006D2CF2">
        <w:rPr>
          <w:bCs w:val="0"/>
          <w:color w:val="000000"/>
          <w:sz w:val="22"/>
          <w:szCs w:val="22"/>
        </w:rPr>
        <w:t>Тема 15.</w:t>
      </w:r>
      <w:r w:rsidRPr="006D2CF2">
        <w:rPr>
          <w:b w:val="0"/>
          <w:color w:val="000000"/>
          <w:sz w:val="22"/>
          <w:szCs w:val="22"/>
        </w:rPr>
        <w:t xml:space="preserve"> </w:t>
      </w:r>
      <w:r w:rsidRPr="006D2CF2">
        <w:rPr>
          <w:color w:val="000000"/>
          <w:sz w:val="22"/>
          <w:szCs w:val="22"/>
        </w:rPr>
        <w:t xml:space="preserve">Пруденційний нагляд </w:t>
      </w:r>
      <w:proofErr w:type="gramStart"/>
      <w:r w:rsidRPr="006D2CF2">
        <w:rPr>
          <w:color w:val="000000"/>
          <w:sz w:val="22"/>
          <w:szCs w:val="22"/>
        </w:rPr>
        <w:t>за</w:t>
      </w:r>
      <w:proofErr w:type="gramEnd"/>
      <w:r w:rsidRPr="006D2CF2">
        <w:rPr>
          <w:color w:val="000000"/>
          <w:sz w:val="22"/>
          <w:szCs w:val="22"/>
        </w:rPr>
        <w:t xml:space="preserve"> депозитарною діяльністю депозитарної установи та управління ризиками   </w:t>
      </w:r>
    </w:p>
    <w:p w:rsidR="002009BD" w:rsidRPr="006D2CF2" w:rsidRDefault="002009BD" w:rsidP="006D2CF2">
      <w:pPr>
        <w:pStyle w:val="3"/>
        <w:spacing w:before="0" w:beforeAutospacing="0" w:after="0" w:afterAutospacing="0"/>
        <w:ind w:firstLine="720"/>
        <w:rPr>
          <w:sz w:val="22"/>
          <w:szCs w:val="22"/>
          <w:lang w:val="uk-UA"/>
        </w:rPr>
      </w:pPr>
      <w:r w:rsidRPr="006D2CF2">
        <w:rPr>
          <w:bCs w:val="0"/>
          <w:color w:val="000000"/>
          <w:sz w:val="22"/>
          <w:szCs w:val="22"/>
        </w:rPr>
        <w:t xml:space="preserve">Кількість годин – 2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Ризики професійної діяльності </w:t>
      </w:r>
      <w:proofErr w:type="gramStart"/>
      <w:r w:rsidRPr="006D2CF2">
        <w:rPr>
          <w:rFonts w:ascii="Times New Roman" w:hAnsi="Times New Roman" w:cs="Times New Roman"/>
          <w:color w:val="000000"/>
        </w:rPr>
        <w:t>на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фондовому ринку. </w:t>
      </w:r>
    </w:p>
    <w:p w:rsidR="002009BD" w:rsidRPr="006D2CF2" w:rsidRDefault="002009BD" w:rsidP="006D2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 xml:space="preserve">Пруденційні нормативи депозитарної діяльності депозитарної установи. 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Порядок розрахунку пруденційних показників депозитарної діяльності депозитарної установи.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Внутрішня система запобігання та мінімізації впливу ризикі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>.</w:t>
      </w:r>
    </w:p>
    <w:p w:rsidR="002009BD" w:rsidRPr="006D2CF2" w:rsidRDefault="002009BD" w:rsidP="006D2CF2">
      <w:pPr>
        <w:pStyle w:val="3"/>
        <w:spacing w:before="0" w:beforeAutospacing="0" w:after="0" w:afterAutospacing="0"/>
        <w:ind w:firstLine="720"/>
        <w:rPr>
          <w:b w:val="0"/>
          <w:color w:val="000000"/>
          <w:sz w:val="22"/>
          <w:szCs w:val="22"/>
        </w:rPr>
      </w:pPr>
      <w:r w:rsidRPr="006D2CF2">
        <w:rPr>
          <w:b w:val="0"/>
          <w:color w:val="000000"/>
          <w:sz w:val="22"/>
          <w:szCs w:val="22"/>
        </w:rPr>
        <w:t>Державний контроль у процесі здійснення пруденційного нагляду.</w:t>
      </w:r>
    </w:p>
    <w:p w:rsidR="002009BD" w:rsidRPr="006D2CF2" w:rsidRDefault="002009BD" w:rsidP="006D2C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6D2CF2">
        <w:rPr>
          <w:rFonts w:ascii="Times New Roman" w:hAnsi="Times New Roman" w:cs="Times New Roman"/>
          <w:b/>
          <w:color w:val="000000"/>
        </w:rPr>
        <w:t>Тема 16. Порядок виплати дивідендів (доходів за цінними паперами) через депозитарну систему України. Надання послуг щодо інформаційного та організаційного забезпечення проведення загальних зборів акціонерного товариства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6D2CF2">
        <w:rPr>
          <w:rFonts w:ascii="Times New Roman" w:hAnsi="Times New Roman" w:cs="Times New Roman"/>
          <w:b/>
          <w:color w:val="000000"/>
        </w:rPr>
        <w:t>Кількість годин – 4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Етапи виплати дивідендів через депозитарну систему України. Строки та порядок виплати дивіденді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депонентам. Особливості виплати дивідендів власникам, рахунки яких обслуговуються на підставі договору про відкриття/обслуговування рахунків 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цінних паперах власникам цінних паперів. Порядок виплати дивідендів спадкоємцям, правонаступникам. Порядок виплати дивіденді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у випадку припинення депозитарною установою провадження професійної діяльності на фондовому ринку – депозитарної діяльності депозитарної установи.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Порядок виплати доході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за цінними паперами. Особливості виплати доході</w:t>
      </w:r>
      <w:proofErr w:type="gramStart"/>
      <w:r w:rsidRPr="006D2CF2">
        <w:rPr>
          <w:rFonts w:ascii="Times New Roman" w:hAnsi="Times New Roman" w:cs="Times New Roman"/>
          <w:color w:val="000000"/>
        </w:rPr>
        <w:t>в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за цінними паперами, які розміщені за межами України.</w:t>
      </w:r>
    </w:p>
    <w:p w:rsidR="002009BD" w:rsidRPr="006D2CF2" w:rsidRDefault="002009BD" w:rsidP="006D2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2CF2">
        <w:rPr>
          <w:rFonts w:ascii="Times New Roman" w:hAnsi="Times New Roman" w:cs="Times New Roman"/>
          <w:color w:val="000000"/>
        </w:rPr>
        <w:t>Догові</w:t>
      </w:r>
      <w:proofErr w:type="gramStart"/>
      <w:r w:rsidRPr="006D2CF2">
        <w:rPr>
          <w:rFonts w:ascii="Times New Roman" w:hAnsi="Times New Roman" w:cs="Times New Roman"/>
          <w:color w:val="000000"/>
        </w:rPr>
        <w:t>р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про надання послуг щодо інформаційного та організаційного забезпечення проведення загальних зборів акціонерного товариства. Функції реєстраційної комісії, функції лічильної комісії. Порядок отримання </w:t>
      </w:r>
      <w:proofErr w:type="gramStart"/>
      <w:r w:rsidRPr="006D2CF2">
        <w:rPr>
          <w:rFonts w:ascii="Times New Roman" w:hAnsi="Times New Roman" w:cs="Times New Roman"/>
          <w:color w:val="000000"/>
        </w:rPr>
        <w:t>депозитарною</w:t>
      </w:r>
      <w:proofErr w:type="gramEnd"/>
      <w:r w:rsidRPr="006D2CF2">
        <w:rPr>
          <w:rFonts w:ascii="Times New Roman" w:hAnsi="Times New Roman" w:cs="Times New Roman"/>
          <w:color w:val="000000"/>
        </w:rPr>
        <w:t xml:space="preserve"> установою від Центрального депозитарію переліку власників іменних цінних паперів для повідомлення акціонерів про проведення загальних зборів, проведення реєстрації на загальних зборах акціонерного товариства.</w:t>
      </w:r>
    </w:p>
    <w:p w:rsidR="002009BD" w:rsidRPr="002009BD" w:rsidRDefault="002009BD" w:rsidP="002009BD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</w:rPr>
      </w:pPr>
    </w:p>
    <w:p w:rsidR="002009BD" w:rsidRPr="002009BD" w:rsidRDefault="002009BD" w:rsidP="002009BD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</w:rPr>
      </w:pPr>
    </w:p>
    <w:p w:rsidR="002009BD" w:rsidRPr="002009BD" w:rsidRDefault="002009BD" w:rsidP="002009BD">
      <w:pPr>
        <w:pStyle w:val="a4"/>
        <w:widowControl/>
        <w:ind w:firstLine="709"/>
        <w:jc w:val="right"/>
        <w:rPr>
          <w:rStyle w:val="a5"/>
          <w:rFonts w:ascii="Times New Roman" w:hAnsi="Times New Roman" w:cs="Times New Roman"/>
          <w:color w:val="000000"/>
          <w:sz w:val="22"/>
          <w:szCs w:val="22"/>
        </w:rPr>
      </w:pPr>
      <w:r w:rsidRPr="002009BD"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uk-UA"/>
        </w:rPr>
        <w:t>Лекційних та практичних занять - 5</w:t>
      </w:r>
      <w:r w:rsidRPr="002009BD">
        <w:rPr>
          <w:rStyle w:val="a5"/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Pr="002009BD"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год.</w:t>
      </w:r>
    </w:p>
    <w:p w:rsidR="002009BD" w:rsidRPr="002009BD" w:rsidRDefault="002009BD" w:rsidP="002009BD">
      <w:pPr>
        <w:pStyle w:val="a4"/>
        <w:widowControl/>
        <w:ind w:firstLine="709"/>
        <w:jc w:val="right"/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uk-UA"/>
        </w:rPr>
      </w:pPr>
      <w:r w:rsidRPr="002009BD">
        <w:rPr>
          <w:rFonts w:ascii="Times New Roman" w:hAnsi="Times New Roman"/>
          <w:b/>
          <w:color w:val="000000"/>
          <w:sz w:val="22"/>
          <w:szCs w:val="22"/>
          <w:lang w:val="uk-UA"/>
        </w:rPr>
        <w:t>Поточна перевірка знань - 4 год.</w:t>
      </w:r>
    </w:p>
    <w:p w:rsidR="002009BD" w:rsidRPr="002009BD" w:rsidRDefault="002009BD" w:rsidP="002009BD">
      <w:pPr>
        <w:pStyle w:val="a4"/>
        <w:widowControl/>
        <w:tabs>
          <w:tab w:val="clear" w:pos="6713"/>
          <w:tab w:val="left" w:pos="5954"/>
        </w:tabs>
        <w:ind w:firstLine="709"/>
        <w:jc w:val="right"/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uk-UA"/>
        </w:rPr>
      </w:pPr>
      <w:r w:rsidRPr="002009BD"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uk-UA"/>
        </w:rPr>
        <w:t>Кваліфікаційний іспит - 8 год.</w:t>
      </w:r>
    </w:p>
    <w:p w:rsidR="002009BD" w:rsidRPr="002009BD" w:rsidRDefault="002009BD" w:rsidP="002009BD">
      <w:pPr>
        <w:pStyle w:val="a4"/>
        <w:widowControl/>
        <w:tabs>
          <w:tab w:val="clear" w:pos="6713"/>
          <w:tab w:val="left" w:pos="5954"/>
        </w:tabs>
        <w:ind w:firstLine="709"/>
        <w:jc w:val="right"/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uk-UA"/>
        </w:rPr>
      </w:pPr>
      <w:r w:rsidRPr="002009BD"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Загальна кількість - </w:t>
      </w:r>
      <w:r w:rsidRPr="002009BD">
        <w:rPr>
          <w:rStyle w:val="a5"/>
          <w:rFonts w:ascii="Times New Roman" w:hAnsi="Times New Roman" w:cs="Times New Roman"/>
          <w:b/>
          <w:color w:val="000000"/>
          <w:sz w:val="22"/>
          <w:szCs w:val="22"/>
        </w:rPr>
        <w:t>6</w:t>
      </w:r>
      <w:r w:rsidRPr="002009BD"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en-US"/>
        </w:rPr>
        <w:t>4</w:t>
      </w:r>
      <w:r w:rsidRPr="002009BD">
        <w:rPr>
          <w:rStyle w:val="a5"/>
          <w:rFonts w:ascii="Times New Roman" w:hAnsi="Times New Roman" w:cs="Times New Roman"/>
          <w:b/>
          <w:color w:val="000000"/>
          <w:sz w:val="22"/>
          <w:szCs w:val="22"/>
          <w:lang w:val="uk-UA"/>
        </w:rPr>
        <w:t xml:space="preserve"> год.</w:t>
      </w:r>
    </w:p>
    <w:p w:rsidR="002009BD" w:rsidRPr="002009BD" w:rsidRDefault="002009BD">
      <w:pPr>
        <w:rPr>
          <w:lang w:val="uk-UA"/>
        </w:rPr>
      </w:pPr>
    </w:p>
    <w:sectPr w:rsidR="002009BD" w:rsidRPr="002009BD" w:rsidSect="0020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C"/>
    <w:rsid w:val="002009BD"/>
    <w:rsid w:val="003A21BC"/>
    <w:rsid w:val="0046128E"/>
    <w:rsid w:val="006D2CF2"/>
    <w:rsid w:val="0087088F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0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Готовый"/>
    <w:basedOn w:val="a"/>
    <w:rsid w:val="002009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Печатная машинка"/>
    <w:rsid w:val="002009BD"/>
    <w:rPr>
      <w:rFonts w:ascii="Courier New" w:hAnsi="Courier New" w:cs="Courier New" w:hint="default"/>
      <w:sz w:val="20"/>
    </w:rPr>
  </w:style>
  <w:style w:type="paragraph" w:customStyle="1" w:styleId="21">
    <w:name w:val="Основной текст с отступом 21"/>
    <w:basedOn w:val="a"/>
    <w:rsid w:val="002009B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42">
    <w:name w:val="st42"/>
    <w:rsid w:val="002009BD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2009BD"/>
  </w:style>
  <w:style w:type="paragraph" w:customStyle="1" w:styleId="rvps6">
    <w:name w:val="rvps6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0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Готовый"/>
    <w:basedOn w:val="a"/>
    <w:rsid w:val="002009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Печатная машинка"/>
    <w:rsid w:val="002009BD"/>
    <w:rPr>
      <w:rFonts w:ascii="Courier New" w:hAnsi="Courier New" w:cs="Courier New" w:hint="default"/>
      <w:sz w:val="20"/>
    </w:rPr>
  </w:style>
  <w:style w:type="paragraph" w:customStyle="1" w:styleId="21">
    <w:name w:val="Основной текст с отступом 21"/>
    <w:basedOn w:val="a"/>
    <w:rsid w:val="002009B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42">
    <w:name w:val="st42"/>
    <w:rsid w:val="002009BD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2009BD"/>
  </w:style>
  <w:style w:type="paragraph" w:customStyle="1" w:styleId="rvps6">
    <w:name w:val="rvps6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2019-12-11T08:16:00Z</dcterms:created>
  <dcterms:modified xsi:type="dcterms:W3CDTF">2019-12-11T08:16:00Z</dcterms:modified>
</cp:coreProperties>
</file>