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F6" w:rsidRPr="009E13F6" w:rsidRDefault="002009BD" w:rsidP="009E13F6">
      <w:pPr>
        <w:pStyle w:val="3"/>
        <w:shd w:val="clear" w:color="auto" w:fill="FFFFFF"/>
        <w:spacing w:before="150" w:beforeAutospacing="0" w:after="150" w:afterAutospacing="0"/>
        <w:ind w:left="150" w:right="150"/>
        <w:jc w:val="center"/>
        <w:rPr>
          <w:rFonts w:ascii="Arial" w:hAnsi="Arial"/>
          <w:color w:val="3399FF"/>
          <w:sz w:val="32"/>
          <w:szCs w:val="32"/>
          <w:u w:val="single"/>
        </w:rPr>
      </w:pPr>
      <w:r w:rsidRPr="009E13F6">
        <w:rPr>
          <w:rFonts w:ascii="Arial" w:hAnsi="Arial"/>
          <w:color w:val="3399FF"/>
          <w:sz w:val="32"/>
          <w:szCs w:val="32"/>
          <w:u w:val="single"/>
        </w:rPr>
        <w:t xml:space="preserve">Програма курсу </w:t>
      </w:r>
      <w:r w:rsidR="00044766">
        <w:rPr>
          <w:rFonts w:ascii="Arial" w:hAnsi="Arial"/>
          <w:color w:val="3399FF"/>
          <w:sz w:val="32"/>
          <w:szCs w:val="32"/>
          <w:u w:val="single"/>
        </w:rPr>
        <w:t xml:space="preserve">скороченого </w:t>
      </w:r>
      <w:r w:rsidRPr="009E13F6">
        <w:rPr>
          <w:rFonts w:ascii="Arial" w:hAnsi="Arial" w:cstheme="minorBidi"/>
          <w:bCs w:val="0"/>
          <w:color w:val="3399FF"/>
          <w:sz w:val="32"/>
          <w:szCs w:val="32"/>
          <w:u w:val="single"/>
        </w:rPr>
        <w:t xml:space="preserve">навчання фахівців з питань </w:t>
      </w:r>
      <w:proofErr w:type="gramStart"/>
      <w:r w:rsidR="009E13F6" w:rsidRPr="009E13F6">
        <w:rPr>
          <w:rFonts w:ascii="Arial" w:hAnsi="Arial"/>
          <w:color w:val="3399FF"/>
          <w:sz w:val="32"/>
          <w:szCs w:val="32"/>
          <w:u w:val="single"/>
        </w:rPr>
        <w:t>адм</w:t>
      </w:r>
      <w:proofErr w:type="gramEnd"/>
      <w:r w:rsidR="009E13F6" w:rsidRPr="009E13F6">
        <w:rPr>
          <w:rFonts w:ascii="Arial" w:hAnsi="Arial"/>
          <w:color w:val="3399FF"/>
          <w:sz w:val="32"/>
          <w:szCs w:val="32"/>
          <w:u w:val="single"/>
        </w:rPr>
        <w:t>іністрування недержавних пенсійних фондів</w:t>
      </w:r>
    </w:p>
    <w:p w:rsidR="003B5986" w:rsidRDefault="006D2CF2" w:rsidP="003B5986">
      <w:pPr>
        <w:shd w:val="clear" w:color="auto" w:fill="FFFFFF"/>
        <w:spacing w:after="0" w:line="240" w:lineRule="auto"/>
        <w:ind w:left="85" w:right="85"/>
        <w:jc w:val="right"/>
        <w:rPr>
          <w:rFonts w:ascii="Times New Roman" w:eastAsia="Times New Roman" w:hAnsi="Times New Roman" w:cs="Times New Roman"/>
          <w:color w:val="000000"/>
          <w:lang w:val="uk-UA" w:eastAsia="ru-RU"/>
        </w:rPr>
      </w:pPr>
      <w:bookmarkStart w:id="0" w:name="_GoBack"/>
      <w:bookmarkEnd w:id="0"/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>ЗАТВЕРДЖЕНО</w:t>
      </w:r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br/>
        <w:t>рішенням Національної комісії з цінних паперів та фондового ринку</w:t>
      </w:r>
    </w:p>
    <w:p w:rsidR="003B5986" w:rsidRDefault="006D2CF2" w:rsidP="003B5986">
      <w:pPr>
        <w:shd w:val="clear" w:color="auto" w:fill="FFFFFF"/>
        <w:spacing w:after="0" w:line="240" w:lineRule="auto"/>
        <w:ind w:left="85" w:right="85"/>
        <w:jc w:val="righ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від </w:t>
      </w:r>
      <w:r w:rsidR="00F60BCC"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>14 липня 2020 року № 360</w:t>
      </w:r>
    </w:p>
    <w:p w:rsidR="006D2CF2" w:rsidRDefault="006D2CF2" w:rsidP="006D2CF2">
      <w:pPr>
        <w:shd w:val="clear" w:color="auto" w:fill="FFFFFF"/>
        <w:spacing w:before="83" w:after="83" w:line="240" w:lineRule="auto"/>
        <w:ind w:left="83" w:right="83"/>
        <w:jc w:val="righ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:rsidR="009E13F6" w:rsidRPr="009E13F6" w:rsidRDefault="00F60BCC" w:rsidP="009E13F6">
      <w:pPr>
        <w:pStyle w:val="3"/>
        <w:shd w:val="clear" w:color="auto" w:fill="FFFFFF"/>
        <w:spacing w:before="150" w:beforeAutospacing="0" w:after="150" w:afterAutospacing="0"/>
        <w:ind w:left="150" w:right="150"/>
        <w:jc w:val="center"/>
        <w:rPr>
          <w:b w:val="0"/>
          <w:bCs w:val="0"/>
          <w:color w:val="000000"/>
          <w:sz w:val="24"/>
          <w:szCs w:val="24"/>
          <w:u w:val="single"/>
          <w:lang w:val="uk-UA"/>
        </w:rPr>
      </w:pPr>
      <w:r w:rsidRPr="003B5986">
        <w:rPr>
          <w:b w:val="0"/>
          <w:bCs w:val="0"/>
          <w:color w:val="000000"/>
          <w:sz w:val="24"/>
          <w:szCs w:val="24"/>
          <w:u w:val="single"/>
        </w:rPr>
        <w:t>C</w:t>
      </w:r>
      <w:r w:rsidRPr="003B5986">
        <w:rPr>
          <w:b w:val="0"/>
          <w:bCs w:val="0"/>
          <w:color w:val="000000"/>
          <w:sz w:val="24"/>
          <w:szCs w:val="24"/>
          <w:u w:val="single"/>
          <w:lang w:val="uk-UA"/>
        </w:rPr>
        <w:t>ПЕЦІАЛІЗОВАНА ПРОГРАМА</w:t>
      </w:r>
      <w:r w:rsidRPr="003B5986">
        <w:rPr>
          <w:b w:val="0"/>
          <w:bCs w:val="0"/>
          <w:color w:val="000000"/>
          <w:sz w:val="24"/>
          <w:szCs w:val="24"/>
          <w:u w:val="single"/>
          <w:lang w:val="uk-UA"/>
        </w:rPr>
        <w:br/>
        <w:t xml:space="preserve">навчання фахівців з питань </w:t>
      </w:r>
      <w:proofErr w:type="gramStart"/>
      <w:r w:rsidR="009E13F6" w:rsidRPr="009E13F6">
        <w:rPr>
          <w:b w:val="0"/>
          <w:bCs w:val="0"/>
          <w:color w:val="000000"/>
          <w:sz w:val="24"/>
          <w:szCs w:val="24"/>
          <w:u w:val="single"/>
          <w:lang w:val="uk-UA"/>
        </w:rPr>
        <w:t>адм</w:t>
      </w:r>
      <w:proofErr w:type="gramEnd"/>
      <w:r w:rsidR="009E13F6" w:rsidRPr="009E13F6">
        <w:rPr>
          <w:b w:val="0"/>
          <w:bCs w:val="0"/>
          <w:color w:val="000000"/>
          <w:sz w:val="24"/>
          <w:szCs w:val="24"/>
          <w:u w:val="single"/>
          <w:lang w:val="uk-UA"/>
        </w:rPr>
        <w:t>іністрування недержавних пенсійних фондів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Тема 1. Основні вимоги до здійснення діяльності недержавних пенсійних фондів та діяльності з адміністрування недержавних пенсійних фондів</w:t>
      </w:r>
      <w:r w:rsidRPr="009E13F6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Кількість годин - 2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Державне регулювання діяльності із недержавного пенсійного забезпечення. Схема функціонування недержавного пенсійного фонду (далі - НПФ). Особливості НПФ як юридичної особи. Засновники НПФ, вкладники НПФ, учасники НПФ: поняття, загальні права та обов'язки. Види НПФ: характеристика, учасники та вкладники, засновники, особливості створення НПФ кожного виду. Послуги, що обов’язково надаються НПФ, та особи, які мають право їх надавати (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іністрування, управління активами, зберігання активів).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Пов'язан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 особи. Пенсійні активи: поняття, порядок формування і використання. Законодавче регулювання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недержавних пенсійних фондів.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Взаємодія особи, яка здійснює адміністрування НПФ з органами управління НПФ та з іншими суб'єктами недержавного пенсійного забезпечення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- 4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Збори засновників НПФ: повноваження (компетенція), вимоги до порядку проведення. Вимоги до порядку скликання та проведення зборів засновників НПФ. Рада НПФ та її повноваження (компетенція). Засідання ради НПФ: вимоги до порядку скликання та проведення. Взаємодія особи, яка здійснює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 (далі - адміністратора) з радою НПФ та засновниками НПФ. Забезпечення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іністратором діяльності ради НПФ та проведення зборів засновників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Взаємодія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іністратора з вкладниками НПФ та учасниками НПФ. Пенсійний контракт: вимоги до змісту, порядку укладання, розірвання. Функції особи, що здійснює управління активами НПФ, та зберігача НПФ. Взаємодія особи, що здійснює управління активами НПФ,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іністратором НПФ. Взаємодія зберігача НПФ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іністратором НПФ. Агентські послуги, що надаються недержавним пенсійним фондам. Вимоги до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осіб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, які надають агентські послуги. Реє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 осіб, які надають агентські послуги: вимоги до його змісту. Порядок взаємодії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іністратора НПФ з особами, які надають агентські послуги.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3. Загальні засади діяльності з </w:t>
      </w:r>
      <w:proofErr w:type="gramStart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іністрування НПФ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- 6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Особи, які можуть провадити діяльність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НПФ. Функції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іністратора. Вимоги до професійного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іністратора. Особливості провадження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 одноосібним засновником корпоративного НПФ. Особливості провадження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 компанією з управління активами. Вимоги до договору про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НПФ, його істотні умови. Оплата послуг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НПФ. Порядок визначення витрат одноосібного засновника корпоративного НПФ на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такого фонду. Відповідальність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іністратора НПФ. Тимчасове призначення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іністратора НПФ.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НПФ при ліквідації або реорганізації адміністратора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Внутрішній аудит. Створення служби з внутрішнього аудиту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іністратора НПФ. Завдання та функції служби внутрішнього аудиту та/або внутрішнього аудитора.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Система фінансового моніторингу. Операції, що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ідлягають обов'язковому та/або внутрішньому фінансовому моніторингу. Організація фінансового моніторингу у діяльності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іністратора НПФ. Відповідальність за порушення законодавства у сфері фінансового моніторингу.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Ведення персоніфікованого обліку учасників недержавних пенсійних фондів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- 6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системи персоніфікованого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 учасників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Порядок формування системи персоніфікованого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 та актуалізації її інформації. Відкриття, ведення та закриття індивідуального пенсійного рахунку учасника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Операції в системі персоніфікованого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іку: облік пенсійних внесків; облік інвестиційного прибутку (збитку); облік здійснення пенсійних виплат.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Передача інформації з системи персоніфікованого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 в разі переведення пенсійних коштів учасника.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Надання інформації з системи персоніфікованого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 учасникам НПФ. Виписка з індивідуального пенсійного рахунку учасника НПФ: вимоги до змісту та порядку видачі.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Особливості ведення персоніфікованого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 відокремленим підрозділом адміністратора.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Збереження інформації системи персоніфікованого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 та ведення архіву (облік архівних матеріалів).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Порядок передачі системи персоніфікованого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 учасників НПФ.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5. Переведення коштів з НПФ та здійснення пенсійних виплат учасникам НПФ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- 2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ідстави для переведення пенсійних коштів з НПФ до іншого НПФ, банківської установи або страхової організації. Порядок визначення суми пенсійних коштів, які підлягають переведенню. Обчислення (визначення) розмі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ів витрат НПФ на переведення пенсійних коштів.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Порядок визначення пенсійного віку учасника НПФ та виду пенсійної виплати.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ідстави та порядок здійснення одноразової пенсійної виплати. Пенсійна виплата на визначений строк: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ідстави виплати, методика розрахунку. Порядок визначення розміру пенсійних коштів, які перераховуються до страховика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оплати довічної пенсії учаснику НПФ. Здійснення пенсійної виплати спадкоємцям учасника НПФ.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6. Бухгалтерський </w:t>
      </w:r>
      <w:proofErr w:type="gramStart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ік, фінансові показники діяльності, звітність та аудит НПФ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- 2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бухгалтерського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іку та фінансової звітності в Україні.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Звітність НПФ відповідно до МСФЗ. Ведення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іністратором бухгалтерського обліку діяльності НПФ. Витрати,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пов'язан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 зі створенням та функціонуванням НПФ, джерела їх покриття.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ік пенсійних внесків. Облік інвестиційної діяльності НПФ.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ік та оцінка пенсійних активів НПФ. Порядок обчислення та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іку результатів діяльності НПФ. Розрахунок фінансового результату.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ік пенсійних виплат. Складання та подання фінансових звітів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>Фінансові показники діяльності НПФ. Методика розрахунку чистої вартості активі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фонду. Методика розрахунку чистої вартості одиниці пенсійних активів.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Проведення аудиторських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перев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ірок діяльності НПФ. Проведення аудиторських перевірок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НПФ.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7. Оподаткування у сфері діяльності НПФ та діяльності з </w:t>
      </w:r>
      <w:proofErr w:type="gramStart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іністрування НПФ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- 2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Податковий статус НПФ. Неприбуткова організація і її ознаки.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Особливості оподаткування внесків фізичних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осіб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 до НПФ. Особливості оподаткування внесків вкладників-роботодавців до НПФ. Оподаткування виплат пенсій (здійснення пенсійних виплат) з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Оподаткування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НПФ.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8. Державне регулювання і контроль у системі недержавного пенсійного забезпечення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- 2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Основні напрями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державного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 регулювання і контролю в сфері недержавного пенсійного забезпечення. Повноваження НКЦПФР щодо здійснення контролю за суб'єктами системи недержавного пенсійного забезпечення. Положення законодавства про захист економічної конкуренції в контексті діяльності НПФ. Державний контроль протидії «відмиванню» коштів, отриманих незаконним шляхом в контексті діяльності НПФ. Податковий контроль у сфері недержавного пенсійного забезпечення. Відповідальність за правопорушення у сфері недержавного пенсійного забезпечення.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Порядок розгляду уповноваженими особами справ про правопорушення та застосування санкцій.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Оскарження постанов у справах про правопорушення у сфері недержавного пенсійного забезпечення.</w:t>
      </w:r>
      <w:proofErr w:type="gramEnd"/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9. Розкриття інформації про діяльність НПФ та звітність </w:t>
      </w:r>
      <w:proofErr w:type="gramStart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іністратора НПФ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- 4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Порядок розкриття інформації про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до змісту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іністративних даних, які подаються адміністратором до НКЦПФР, та порядок їх складання (формування). Порядок надання до НКЦПФР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іністратором НПФ адміністративних даних про власну діяльність та про діяльність НПФ, щодо яких здійснюється адміністрування.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до змісту звітності, яка подається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іністратором радам пенсійних фондів, з якими він уклав договори про адміністрування НПФ, та порядок її складання (формування). Порядок подання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іністратором звітності радам пенсійних фондів, з якими він уклав договори про адміністрування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Оприлюднення інформації та реклама НПФ. Вимоги до складу інформації, яка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ідлягає оприлюдненню, про здійснювану НПФ діяльність із недержавного пенсійного забезпечення. Конфіденційна інформація НПФ. Періодичність та порядок опублікування інформації про здійснювану НПФ діяльність із недержавного пенсійного забезпечення. Вимоги до рекламних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матер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іалів НПФ. Порядок подання рекламних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матер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іалів на погодження до НКЦПФР.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10. Ліцензійні умови провадження професійної діяльності на фондовому ринку – діяльності з адміністрування недержавних пенсійних фондів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- 6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Загальні вимоги до процедури отримання ліцензій на провадження професійної діяльності на фондовому ринку –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НПФ. Порядок та умови видачі ліцензії на провадження професійної діяльності на фондовому ринку –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НПФ, переоформлення ліцензії.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Ліцензійні умови провадження професійної діяльності на фондовому ринку – діяльності з адміністрування НПФ. Вимоги до професійного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іністратора при отриманні ліцензії на провадження діяльності з адміністрування НПФ. Вимоги до одноосібного засновника корпоративного НПФ при отриманні ліцензії на провадження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НПФ. Вимоги до компанії з управління активами при отриманні ліцензії на провадження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до внутрішніх документів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іністратора. Вимоги до змісту внутрішнього положення про здійснення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пенсійних фондів.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>Вимоги до технічного забезпечення та інформаційних систем для ведення персоніфікованого обліку учасників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Документи, які подаються для отримання ліцензії на провадження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пенсійних фондів юридичною особою, яка має намір надавати послуги з адміністрування НПФ (професійним адміністратором, компанією з управління активами та одноосібним засновником корпоративного НПФ). Порядок подання та розгляду документів для отримання ліцензії на провадження діяльності з адміністрування пенсійних фондів.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до провадження діяльності з адміністрування пенсійних фондів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ідокремленими підрозділами адміністратора.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ідстави та процедура анулювання ліцензії. Порядок зупинення дії та анулювання ліцензії на провадження професійної діяльності на фондовому ринку (діяльності з адміністрування НПФ).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Державний контроль за дотриманням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іністратором Ліцензійних умов.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НКЦПФР щодо сертифікації осіб, що здійснюють професійну діяльність з цінними паперами в Україні: умови проходження сертифікації; порядок подання та розгляд документів для отримання сертифіката; відмова у сертифікації;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ідстави та порядок анулювання сертифіката.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11. Інформаційні технології здійснення діяльності з </w:t>
      </w:r>
      <w:proofErr w:type="gramStart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іністрування НПФ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- 2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Операційні системи, системи управління базами даних при здійсненні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Довідники. Інформаційні ресурси. Використання програмних продуктів при здійсненні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Використання Інтернет-технологій в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іністрування НПФ.</w:t>
      </w: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  <w:t>Міжнародні інформаційні системи.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12. Пруденційний нагляд за діяльністю з адміністрування НПФ та управління ризиками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- 2</w:t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Ризики професійної діяльності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фондовому ринку. Пруденційні нормативи діяльності з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НПФ. Порядок розрахунку пруденційних показників діяльності з ад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 xml:space="preserve">іністрування НПФ. Внутрішня система запобігання та </w:t>
      </w:r>
      <w:proofErr w:type="gramStart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t>інімізації впливу ризиків. Державний контроль у процесі здійснення пруденційного нагляду.</w:t>
      </w:r>
    </w:p>
    <w:p w:rsidR="009E13F6" w:rsidRPr="009E13F6" w:rsidRDefault="009E13F6" w:rsidP="009E13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13F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E13F6" w:rsidRPr="009E13F6" w:rsidRDefault="009E13F6" w:rsidP="009E13F6">
      <w:pPr>
        <w:shd w:val="clear" w:color="auto" w:fill="FFFFFF"/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3F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Лекційних та практичних занять - 40 год.</w:t>
      </w:r>
      <w:r w:rsidRPr="009E13F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 xml:space="preserve">Поточна </w:t>
      </w:r>
      <w:proofErr w:type="gramStart"/>
      <w:r w:rsidRPr="009E13F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перев</w:t>
      </w:r>
      <w:proofErr w:type="gramEnd"/>
      <w:r w:rsidRPr="009E13F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ірка знань - 4 год.</w:t>
      </w:r>
      <w:r w:rsidRPr="009E13F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Кваліфікаційний іспит - 8 год.</w:t>
      </w:r>
      <w:r w:rsidRPr="009E13F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Загальна кількість - 52 год.</w:t>
      </w:r>
    </w:p>
    <w:p w:rsidR="003B5986" w:rsidRPr="00F60BCC" w:rsidRDefault="003B5986" w:rsidP="004101D2">
      <w:pPr>
        <w:shd w:val="clear" w:color="auto" w:fill="FFFFFF"/>
        <w:spacing w:after="0" w:line="240" w:lineRule="auto"/>
        <w:ind w:left="85" w:right="8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ru-RU"/>
        </w:rPr>
      </w:pPr>
    </w:p>
    <w:sectPr w:rsidR="003B5986" w:rsidRPr="00F60BCC" w:rsidSect="004101D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C"/>
    <w:rsid w:val="00044766"/>
    <w:rsid w:val="002009BD"/>
    <w:rsid w:val="00297DF4"/>
    <w:rsid w:val="0036476D"/>
    <w:rsid w:val="003A21BC"/>
    <w:rsid w:val="003B5986"/>
    <w:rsid w:val="004101D2"/>
    <w:rsid w:val="0059655B"/>
    <w:rsid w:val="00626E67"/>
    <w:rsid w:val="006D2CF2"/>
    <w:rsid w:val="009E13F6"/>
    <w:rsid w:val="00B15FC5"/>
    <w:rsid w:val="00D16F9E"/>
    <w:rsid w:val="00E50941"/>
    <w:rsid w:val="00F254FC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0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Готовый"/>
    <w:basedOn w:val="a"/>
    <w:rsid w:val="002009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Печатная машинка"/>
    <w:rsid w:val="002009BD"/>
    <w:rPr>
      <w:rFonts w:ascii="Courier New" w:hAnsi="Courier New" w:cs="Courier New" w:hint="default"/>
      <w:sz w:val="20"/>
    </w:rPr>
  </w:style>
  <w:style w:type="paragraph" w:customStyle="1" w:styleId="21">
    <w:name w:val="Основной текст с отступом 21"/>
    <w:basedOn w:val="a"/>
    <w:rsid w:val="002009B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42">
    <w:name w:val="st42"/>
    <w:rsid w:val="002009BD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2009BD"/>
  </w:style>
  <w:style w:type="paragraph" w:customStyle="1" w:styleId="rvps6">
    <w:name w:val="rvps6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9655B"/>
    <w:rPr>
      <w:color w:val="0000FF"/>
      <w:u w:val="single"/>
    </w:rPr>
  </w:style>
  <w:style w:type="character" w:styleId="a7">
    <w:name w:val="Strong"/>
    <w:basedOn w:val="a0"/>
    <w:uiPriority w:val="22"/>
    <w:qFormat/>
    <w:rsid w:val="00F60B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0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Готовый"/>
    <w:basedOn w:val="a"/>
    <w:rsid w:val="002009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Печатная машинка"/>
    <w:rsid w:val="002009BD"/>
    <w:rPr>
      <w:rFonts w:ascii="Courier New" w:hAnsi="Courier New" w:cs="Courier New" w:hint="default"/>
      <w:sz w:val="20"/>
    </w:rPr>
  </w:style>
  <w:style w:type="paragraph" w:customStyle="1" w:styleId="21">
    <w:name w:val="Основной текст с отступом 21"/>
    <w:basedOn w:val="a"/>
    <w:rsid w:val="002009B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42">
    <w:name w:val="st42"/>
    <w:rsid w:val="002009BD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2009BD"/>
  </w:style>
  <w:style w:type="paragraph" w:customStyle="1" w:styleId="rvps6">
    <w:name w:val="rvps6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9655B"/>
    <w:rPr>
      <w:color w:val="0000FF"/>
      <w:u w:val="single"/>
    </w:rPr>
  </w:style>
  <w:style w:type="character" w:styleId="a7">
    <w:name w:val="Strong"/>
    <w:basedOn w:val="a0"/>
    <w:uiPriority w:val="22"/>
    <w:qFormat/>
    <w:rsid w:val="00F60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8CF2-8982-4046-9786-B16CEEA1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2020-12-23T12:39:00Z</dcterms:created>
  <dcterms:modified xsi:type="dcterms:W3CDTF">2020-12-23T12:40:00Z</dcterms:modified>
</cp:coreProperties>
</file>