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C7" w:rsidRDefault="00202053" w:rsidP="0020205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  <w:bookmarkStart w:id="0" w:name="_GoBack"/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Перелі</w:t>
      </w:r>
      <w:proofErr w:type="gramStart"/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к</w:t>
      </w:r>
      <w:proofErr w:type="gramEnd"/>
      <w:r w:rsidRPr="00202053">
        <w:rPr>
          <w:rFonts w:ascii="Arial" w:hAnsi="Arial" w:cs="Arial"/>
          <w:sz w:val="28"/>
          <w:szCs w:val="28"/>
        </w:rPr>
        <w:t xml:space="preserve"> </w:t>
      </w:r>
      <w:r w:rsidRPr="00202053"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eastAsia="ru-RU"/>
        </w:rPr>
        <w:t>актів законодавства</w:t>
      </w:r>
    </w:p>
    <w:p w:rsidR="00202053" w:rsidRDefault="00202053" w:rsidP="0020205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</w:pPr>
      <w:r>
        <w:rPr>
          <w:rFonts w:ascii="Arial" w:eastAsia="Times New Roman" w:hAnsi="Arial" w:cs="Times New Roman"/>
          <w:b/>
          <w:bCs/>
          <w:color w:val="3399FF"/>
          <w:sz w:val="32"/>
          <w:szCs w:val="32"/>
          <w:u w:val="single"/>
          <w:lang w:val="uk-UA" w:eastAsia="ru-RU"/>
        </w:rPr>
        <w:t xml:space="preserve"> курсу навчання з базової програми фахівців фондового ринку</w:t>
      </w:r>
    </w:p>
    <w:bookmarkEnd w:id="0"/>
    <w:p w:rsidR="00202053" w:rsidRPr="00202053" w:rsidRDefault="00202053" w:rsidP="00202053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КОДЕКСИ УКРАЇНИ</w:t>
      </w:r>
      <w:r w:rsidRPr="00202053">
        <w:rPr>
          <w:rFonts w:ascii="Arial" w:hAnsi="Arial" w:cs="Arial"/>
          <w:color w:val="FF0000"/>
          <w:sz w:val="22"/>
          <w:szCs w:val="22"/>
        </w:rPr>
        <w:br/>
      </w:r>
      <w:r w:rsidRPr="00202053">
        <w:rPr>
          <w:rFonts w:ascii="Arial" w:hAnsi="Arial" w:cs="Arial"/>
          <w:color w:val="000000"/>
          <w:sz w:val="22"/>
          <w:szCs w:val="22"/>
        </w:rPr>
        <w:t>1. Господарський кодекс України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2. Кодекс України про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адм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іністративні правопорушення</w:t>
      </w:r>
      <w:r w:rsidRPr="00202053">
        <w:rPr>
          <w:rFonts w:ascii="Arial" w:hAnsi="Arial" w:cs="Arial"/>
          <w:color w:val="000000"/>
          <w:sz w:val="22"/>
          <w:szCs w:val="22"/>
        </w:rPr>
        <w:br/>
        <w:t>3. Кримінальний кодекс України</w:t>
      </w:r>
      <w:r w:rsidRPr="00202053">
        <w:rPr>
          <w:rFonts w:ascii="Arial" w:hAnsi="Arial" w:cs="Arial"/>
          <w:color w:val="000000"/>
          <w:sz w:val="22"/>
          <w:szCs w:val="22"/>
        </w:rPr>
        <w:br/>
        <w:t>4. Податковий кодекс України</w:t>
      </w:r>
      <w:r w:rsidRPr="00202053">
        <w:rPr>
          <w:rFonts w:ascii="Arial" w:hAnsi="Arial" w:cs="Arial"/>
          <w:color w:val="000000"/>
          <w:sz w:val="22"/>
          <w:szCs w:val="22"/>
        </w:rPr>
        <w:br/>
        <w:t>5. Сімейний кодекс України</w:t>
      </w:r>
      <w:r w:rsidRPr="00202053">
        <w:rPr>
          <w:rFonts w:ascii="Arial" w:hAnsi="Arial" w:cs="Arial"/>
          <w:color w:val="000000"/>
          <w:sz w:val="22"/>
          <w:szCs w:val="22"/>
        </w:rPr>
        <w:br/>
        <w:t>6. Цивільний кодекс України</w:t>
      </w:r>
    </w:p>
    <w:p w:rsidR="00202053" w:rsidRPr="00202053" w:rsidRDefault="00202053" w:rsidP="00202053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ЗАКОНИ УКРАЇНИ</w:t>
      </w:r>
      <w:r w:rsidRPr="00202053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202053">
        <w:rPr>
          <w:rFonts w:ascii="Arial" w:hAnsi="Arial" w:cs="Arial"/>
          <w:color w:val="000000"/>
          <w:sz w:val="22"/>
          <w:szCs w:val="22"/>
        </w:rPr>
        <w:t>1. Закон України «Про акціонерні товариства»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2. Закон України «Про банки і банківську діяльність»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3. Закон України Про бухгалтерський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 та фінансову звітність в Україні»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4. Закон України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 xml:space="preserve"> П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ро господарські товариства»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5. Закон України «Про депозитарну систему України»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6. Закон України «Про державне регулювання ринку цінних паперів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Україні»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7. Закон України «Про державну реєстрацію юридичних осіб, фізичних осіб -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ідприємців та громадських формувань»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8. Закон України «Про доступ до публічної інформації»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9. Закон України «Про електронні довірчі послуги»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10. Закон України «Про електронні документи та електронний документообіг»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11. Закон України «Про загальнообов‘язкове державне пенсійне страхування»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12. Закон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13. Закон України «Про заставу»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14. Закон України «Про захист економічної конкуренції»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15. Закон України «Про захист персональних даних»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16. Закон України «Про звернення громадян»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17. Закон України «Про інвестиційну діяльність»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18. Закон України «Про інститути спільного інвестування»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19. Закон України «Про інформацію»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20. Закон України «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Про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іпотеку»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21. Закон України «Про іпотечні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ігації»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22. Закон України «Про Національний банк України»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23. Закон України «Про недержавне пенсійне забезпечення»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24. Закон України «Про обіг векселів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Україні»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25. Закон України «Про рекламу»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26. Закон України «Про фінансові послуги та державне регулювання ринків фінансових послуг»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27. Закон України «Про фінансово-кредитні механізми і управління майном при будівництві житла та операціях з нерухомістю»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28. Закон України «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Про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холдингові компанії в Україні»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29. Закон України «Про цінні папери та фондовий ринок»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30. Конвенція, якою запроваджено Уніфікований закон про переказні векселі та прості векселі від 07.06.1930</w:t>
      </w:r>
    </w:p>
    <w:p w:rsidR="00202053" w:rsidRPr="00202053" w:rsidRDefault="00202053" w:rsidP="00202053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УКАЗИ ПРЕЗИДЕНТА УКРАЇНИ</w:t>
      </w:r>
      <w:r w:rsidRPr="00202053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202053">
        <w:rPr>
          <w:rFonts w:ascii="Arial" w:hAnsi="Arial" w:cs="Arial"/>
          <w:color w:val="000000"/>
          <w:sz w:val="22"/>
          <w:szCs w:val="22"/>
        </w:rPr>
        <w:t>1. Про інвестиційні фонди та інвестиційні компанії, Указ від 19.02.1994 №55/94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2. Про Національну комісію з цінних паперів та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фондового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ринку, Указ від 23.11.2011 №1063/2011</w:t>
      </w:r>
    </w:p>
    <w:p w:rsidR="00202053" w:rsidRPr="00202053" w:rsidRDefault="00202053" w:rsidP="00202053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НОРМАТИВНО-ПРАВОВІ АКТИ КАБІНЕТУ МІНІ</w:t>
      </w:r>
      <w:proofErr w:type="gramStart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СТР</w:t>
      </w:r>
      <w:proofErr w:type="gramEnd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ІВ УКРАЇНИ</w:t>
      </w:r>
      <w:r w:rsidRPr="00202053">
        <w:rPr>
          <w:rFonts w:ascii="Arial" w:hAnsi="Arial" w:cs="Arial"/>
          <w:color w:val="000000"/>
          <w:sz w:val="22"/>
          <w:szCs w:val="22"/>
        </w:rPr>
        <w:br/>
        <w:t>1. Декрет Кабінету Міні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стр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ів України «Про державне мито»</w:t>
      </w:r>
      <w:r w:rsidRPr="00202053">
        <w:rPr>
          <w:rFonts w:ascii="Arial" w:hAnsi="Arial" w:cs="Arial"/>
          <w:color w:val="000000"/>
          <w:sz w:val="22"/>
          <w:szCs w:val="22"/>
        </w:rPr>
        <w:br/>
        <w:t>2. Декрет Кабінету Міні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стр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ів України «Про довірчі товариства»</w:t>
      </w:r>
      <w:r w:rsidRPr="00202053">
        <w:rPr>
          <w:rFonts w:ascii="Arial" w:hAnsi="Arial" w:cs="Arial"/>
          <w:color w:val="000000"/>
          <w:sz w:val="22"/>
          <w:szCs w:val="22"/>
        </w:rPr>
        <w:br/>
      </w:r>
      <w:r w:rsidRPr="00202053">
        <w:rPr>
          <w:rFonts w:ascii="Arial" w:hAnsi="Arial" w:cs="Arial"/>
          <w:color w:val="000000"/>
          <w:sz w:val="22"/>
          <w:szCs w:val="22"/>
        </w:rPr>
        <w:lastRenderedPageBreak/>
        <w:t>3. Інструкція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інформації, постанова від 14.04.1997 №348</w:t>
      </w:r>
      <w:r w:rsidRPr="00202053">
        <w:rPr>
          <w:rFonts w:ascii="Arial" w:hAnsi="Arial" w:cs="Arial"/>
          <w:color w:val="000000"/>
          <w:sz w:val="22"/>
          <w:szCs w:val="22"/>
        </w:rPr>
        <w:br/>
        <w:t>4. Національна рейтингова шкала, постанова від 2604.2007 №665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5. Положення про систему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публічної інформації, постанова від 21.11.2011 №1277</w:t>
      </w:r>
      <w:r w:rsidRPr="00202053">
        <w:rPr>
          <w:rFonts w:ascii="Arial" w:hAnsi="Arial" w:cs="Arial"/>
          <w:color w:val="000000"/>
          <w:sz w:val="22"/>
          <w:szCs w:val="22"/>
        </w:rPr>
        <w:br/>
        <w:t>6. Концепція створення системи рейтингової оцінки регіонів, галузей національної економіки, суб'єктів господарювання, розпорядження від 01.04.2004 №208-р</w:t>
      </w:r>
    </w:p>
    <w:p w:rsidR="00202053" w:rsidRPr="00202053" w:rsidRDefault="00202053" w:rsidP="00202053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НОРМАТИВНО-ПРАВОВІ АКТИ МІНІСТЕРСТВА ФІНАНСІВ УКРАЇНИ</w:t>
      </w:r>
      <w:r w:rsidRPr="00202053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202053">
        <w:rPr>
          <w:rFonts w:ascii="Arial" w:hAnsi="Arial" w:cs="Arial"/>
          <w:color w:val="000000"/>
          <w:sz w:val="22"/>
          <w:szCs w:val="22"/>
        </w:rPr>
        <w:t>1. Методичні рекомендації щодо заповнення форм фінансової звітності, наказ від 28.03.2013 №433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2. Національне положення (стандарт)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1 «Загальні вимоги до фінансової звітності», наказ від 07.02.2013 №73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3. Положення (стандарт)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6 «Виправлення помилок і зміни у фінансових звітах», наказ від 28.05.1999 №137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4. Положення (стандарт)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12 «Фінансові інвестиції», наказ від 26.04.2000 №91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5. Положення (стандарт)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13 «Фінансові інструменти», наказ від 30.11.2001 №559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6. Положення (стандарт)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15 «Дохід», наказ від 29.11.1999 №290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7. Положення (стандарт)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16 «Витрати», наказ від 31.12.1999 №318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8. Положення (стандарт)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17 «Податок на прибуток», наказ від 28.12.2000 №353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9. Положення (стандарт)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19 «Об'єднання підприємств», наказ від 07.07.1999 №163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10. Положення (стандарт)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21 «Вплив змін валютних курсів», наказ від 10.08.2000 №1933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11. Положення (стандарт)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24 «Прибуток на акцію», наказ від 16.07.2001 №344</w:t>
      </w:r>
    </w:p>
    <w:p w:rsidR="00202053" w:rsidRPr="00202053" w:rsidRDefault="00202053" w:rsidP="00202053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 xml:space="preserve">НОРМАТИВНО-ПРАВОВІ АКТИ </w:t>
      </w:r>
      <w:proofErr w:type="gramStart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АНТИМОНОПОЛЬНОГО</w:t>
      </w:r>
      <w:proofErr w:type="gramEnd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 xml:space="preserve"> КОМІТЕТУ УКРАЇНИ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1. Правила розгляду заяв і справ про порушення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законодавства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про захист економічної конкуренції (Правила розгляду справ), розпорядження від 29.06.1998 №169-р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2. Положення про порядок подання заяв до органів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Антимонопольного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комітету України про надання дозволу на узгоджені дії суб'єктів господарювання (Положення про узгоджені дії), розпорядження від 12.02.2002 №26-р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3. Положення про порядок подання заяв до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Антимонопольного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комітету України про попереднє отримання дозволу на концентрацію суб'єктів господарювання (Положення про концентрацію), розпорядження від 19.02.2002 №33-р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4. Методика визначення монопольного (домінуючого) становища суб'єктів господарювання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на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ринку, розпорядження від 05.03.2002 №49-р</w:t>
      </w:r>
    </w:p>
    <w:p w:rsidR="00202053" w:rsidRPr="00202053" w:rsidRDefault="00202053" w:rsidP="00202053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 xml:space="preserve">НОРМАТИВНО-ПРАВОВІ АКТИ НАЦІОНАЛЬНОЇ КОМІСІЇ </w:t>
      </w:r>
      <w:proofErr w:type="gramStart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З</w:t>
      </w:r>
      <w:proofErr w:type="gramEnd"/>
      <w:r w:rsidRPr="00202053">
        <w:rPr>
          <w:rFonts w:ascii="Arial" w:hAnsi="Arial" w:cs="Arial"/>
          <w:b/>
          <w:bCs/>
          <w:color w:val="FF0000"/>
          <w:sz w:val="22"/>
          <w:szCs w:val="22"/>
        </w:rPr>
        <w:t xml:space="preserve"> ЦІННИХ ПАПЕРІВ ТА ФОНДОВОГО РИНКУ</w:t>
      </w:r>
      <w:r w:rsidRPr="00202053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202053">
        <w:rPr>
          <w:rFonts w:ascii="Arial" w:hAnsi="Arial" w:cs="Arial"/>
          <w:color w:val="000000"/>
          <w:sz w:val="22"/>
          <w:szCs w:val="22"/>
        </w:rPr>
        <w:t>1. Інструкція з оформлення матеріалів про адміністративні правопорушення Національною комісією з цінних паперів та фондового ринку, рішення від 26.03.2013 №432</w:t>
      </w:r>
      <w:r w:rsidRPr="00202053">
        <w:rPr>
          <w:rFonts w:ascii="Arial" w:hAnsi="Arial" w:cs="Arial"/>
          <w:color w:val="000000"/>
          <w:sz w:val="22"/>
          <w:szCs w:val="22"/>
        </w:rPr>
        <w:br/>
        <w:t>2. Перелік іноземних фондових бірж, на яких мають бути допущені до обігу цінні папери іноземних емітентів, що мають намі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отримати допуск до обігу цінних паперів на території України, рішення від 10.09.2013 №1754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3. Положення про державних представників на фондових біржах,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08.05.2001 №144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4. Положення про допуск цінних паперів іноземних емітентів до обігу на території України,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22.11.2012 №1692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5. Положення про здійснення фінансового моніторингу професійними учасниками ринку </w:t>
      </w:r>
      <w:r w:rsidRPr="00202053">
        <w:rPr>
          <w:rFonts w:ascii="Arial" w:hAnsi="Arial" w:cs="Arial"/>
          <w:color w:val="000000"/>
          <w:sz w:val="22"/>
          <w:szCs w:val="22"/>
        </w:rPr>
        <w:lastRenderedPageBreak/>
        <w:t xml:space="preserve">цінних паперів,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17.03.2016 №309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6. Положення про іпотечне покриття звичайних іпотечних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ігацій, порядок ведення реєстру іпотечного покриття та управління іпотечним покриттям звичайних іпотечних облігацій, рішення від 27.12.2012 №1902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7. Положення про консолідований нагляд за діяльністю небанківських фінансових груп, переважна діяльність у яких здійснюється особою, яка отримала ліцензію на провадження професійної діяльності на фондовому ринку,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26.03.2013 №431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8. Положення про особливості здійснення діяльності з управління активами інституційних інвесторів,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06.08.2013 №1414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9. Положення про подання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адм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іністративних даних та інформації у вигляді електронних документів до Національної комісії з цінних паперів та фондового ринку, рішення від 13.05.2011 №492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10. Положення про порядок здійснення емісії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ігацій внутрішніх місцевих позик та їх обігу, рішення від 29.04.2014 №578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11. Положення про порядок здійснення емісії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ігацій підприємств, облігацій міжнародних фінансових організацій та їх обігу, рішення 27.12.2013 №2998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12. Положення про порядок реєстрації випуску (випусків) акцій при заснуванні акціонерних товариств,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27.05.2014 №692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13. Положення про порядок реєстрації змін до правил фондової біржі щодо запровадження в обіг на фондовій біржі деривативів,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04.08.2009 №884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14. Положення про порядок реєстрації проспекту емісії та випуску акцій корпоративного інвестиційного фонду,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20.06.2013 №1104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15. Положення про порядок розміщення, обігу та викупу цінних паперів інституту спільного інвестування,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30.07.2013 №1338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16. Положення про провадження депозитарної діяльності,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23.04.2013 №735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17. Положення про реєстрацію випуску сертифікатів фонду операцій з нерухомістю, проспекту емісії, звіту про результати розміщення сертифікатів фонду операцій з нерухомістю, погашення сертифікатів фонду операцій з нерухомістю та скасування реєстрації випуску,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29.11.2016 №1174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18. Положення про рекламу цінних паперів та фондового ринку,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ішеня від 22.01.2013 №63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19. Положення про розкриття інформації емітентами цінних паперів,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03.12.2013 №2826</w:t>
      </w:r>
      <w:r w:rsidRPr="00202053">
        <w:rPr>
          <w:rFonts w:ascii="Arial" w:hAnsi="Arial" w:cs="Arial"/>
          <w:color w:val="000000"/>
          <w:sz w:val="22"/>
          <w:szCs w:val="22"/>
        </w:rPr>
        <w:br/>
        <w:t>20. Положення про склад та розмі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витрат, що відшкодовуються за рахунок активів інституту спільного інвестування, рішення від 13.08.2013 №1468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21. Положення про склад та структуру активів інституту спільного інвестування,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10.09.2013 №1753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22. Положення про формування інформаційної бази даних про ринок цінних паперів,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03.06.2014 №733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23. Положення про функціонування фондових бірж,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22.11.2012 №1688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24. Положення щодо організації діяльності банків та їх відокремлених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ідрозділів при здійсненні ними професійної діяльності на фондовому ринку, рішення від 16.12.2014 №1708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25.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Положення щодо порядку взаємодії осіб, що зобов'язані розкривати інформацію на фондовому ринку, з особою, уповноваженою Національною комісією з цінних паперів та фондового ринку на розміщення інформації в загальнодоступній інформаційній базі даних Національної комісії з цінних паперів та фондового ринку про ринок цінних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паперів,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12.03.2013 №311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26. Порядок запобігання маніпулюванню цінами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ід час здійснення операцій з цінними паперами на фондовій біржі, рішення від 14.06.2011 №716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27. Порядок збільшення (зменшення) статутного капіталу публічного або приватного акціонерного товариства,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14.05.2013 №822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28. Порядок здійснення консолідації та дроблення акцій акціонерного товариства,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06.03.2012 №371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29. Порядок контролю за дотриманням професійними учасниками фондового ринку (ринку цінних паперів) вимог законодавства у сфері запобігання та протидії легалізації </w:t>
      </w:r>
      <w:r w:rsidRPr="00202053">
        <w:rPr>
          <w:rFonts w:ascii="Arial" w:hAnsi="Arial" w:cs="Arial"/>
          <w:color w:val="000000"/>
          <w:sz w:val="22"/>
          <w:szCs w:val="22"/>
        </w:rPr>
        <w:lastRenderedPageBreak/>
        <w:t xml:space="preserve">(відмиванню) доходів, одержаних злочинним шляхом, фінансуванню тероризму та фінансуванню розповсюдження зброї масового знищення,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17.07.2015 №1038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30. Порядок нагляду за реєстрацією акціонерів, проведенням загальних зборів, голосуванням та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ідбиттям його підсумків на загальних зборах акціонерних товариств, рішення від 19.12.2017 №904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31. Порядок проведення перевірок діяльності емітентів цінних паперів,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04.09.2012 №1178 (рішення підлягає перегляду як таке, що не відповідає Закону №877-V від 05.04.2007, згідно з розпорядженням КМУ №169-р від 10.03.2017)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32. Порядок проведення перевірок дотримання вимог законодавства про цінні папери щодо професійної діяльності на фондовому ринку та діяльності саморегулівних організацій професійних учасників фондового ринку,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12.02.2013 №161 (рішення підлягає перегляду як таке, що не відповідає Закону №877-V від 05.04.2007, згідно з розпорядженням КМУ №169-р від 10.03.2017)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33. Порядок реєстрації випуску акцій при зміні розміру статутного капіталу акціонерного товариства,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31.07.2012 №1073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34. Порядок реєстрації випуску опціонних сертифікатів та проспекту їх емісії,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23.03.2017 №209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35. Порядок скасування реєстрації випусків акцій,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23.04.2013 №737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36. Порядок формування та ведення державного реєстру фінансових установ, які надають фінансові послуги на ринку цінних паперів,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03.12.2015 №2030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37. Правила визначення уповноваженим рейтинговим агентством рейтингової оцінки за Національною рейтинговою шкалою,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12.01.2016 №17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38. Правила розгляду справ про порушення вимог законодавства на ринку цінних паперів та застосування санкцій,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16.10.2012 №1470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39. Про визначення критеріїв, за якими оцінюється ризик суб'єкта первинного фінансового моніторингу - професійного учасника фондового ринку (ринку цінних паперів) бути використаним для відмивання доходів, одержаних злочинним шляхом, фінансування тероризму та фінансування розповсюдження зброї масового знищення,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31.05.2016 №617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40. Про затвердження відкритого формату передачі даних між Національною комісією з цінних паперів та фондового ринку та суб’єктами інформаційної взаємодії,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13.05.2011 №491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41. Про затвердження Принципів корпоративного управління,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22.07.2014 №955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42. Про порядок подання та розміщення інформації в загальнодоступній інформаційній базі даних Національної комісії з цінних паперів та фондового ринку про ринок цінних паперів торговцями цінними паперами та фондовими біржами,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ішення від 05.02.2013 №131</w:t>
      </w:r>
    </w:p>
    <w:p w:rsidR="00202053" w:rsidRPr="00202053" w:rsidRDefault="00202053" w:rsidP="00202053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2"/>
          <w:szCs w:val="22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НОРМАТИВНО-ПРАВОВІ АКТИ НАЦІОНАЛЬНОЇ КОМІСІЇ, ЩО ЗДІЙСНЮЄ ДЕРЖАВНЕ РЕГУЛЮВАННЯ У СФЕРІ РИНКІВ ФІНАНСОВИХ ПОСЛУГ</w:t>
      </w:r>
      <w:r w:rsidRPr="00202053">
        <w:rPr>
          <w:rFonts w:ascii="Arial" w:hAnsi="Arial" w:cs="Arial"/>
          <w:color w:val="000000"/>
          <w:sz w:val="22"/>
          <w:szCs w:val="22"/>
        </w:rPr>
        <w:br/>
        <w:t>1. Положення про Державний реє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стр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фінансових установ, розпорядження від 28.08.2003 №41</w:t>
      </w:r>
    </w:p>
    <w:p w:rsidR="00202053" w:rsidRPr="00202053" w:rsidRDefault="00202053" w:rsidP="00202053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/>
          <w:b/>
          <w:bCs/>
          <w:color w:val="3399FF"/>
          <w:sz w:val="32"/>
          <w:szCs w:val="32"/>
          <w:u w:val="single"/>
        </w:rPr>
      </w:pPr>
      <w:r w:rsidRPr="00202053">
        <w:rPr>
          <w:rFonts w:ascii="Arial" w:hAnsi="Arial" w:cs="Arial"/>
          <w:b/>
          <w:bCs/>
          <w:color w:val="FF0000"/>
          <w:sz w:val="22"/>
          <w:szCs w:val="22"/>
        </w:rPr>
        <w:t>МІЖНАРОДНІ НОРМАТИВНО-ПРАВОВІ АКТИ</w:t>
      </w:r>
      <w:r w:rsidRPr="00202053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Pr="00202053">
        <w:rPr>
          <w:rFonts w:ascii="Arial" w:hAnsi="Arial" w:cs="Arial"/>
          <w:color w:val="000000"/>
          <w:sz w:val="22"/>
          <w:szCs w:val="22"/>
        </w:rPr>
        <w:t>1. Міжнародний стандарт фінансової звітності 1 «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Перше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 xml:space="preserve"> застосування Міжнародних стандартів фінансової звітності»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2. Міжнародний стандарт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1 «Подання фінансової звітності»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3. Міжнародний стандарт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8 «Облікові політики, зміни в облікових оцінках та помилки»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4. Міжнародний стандарт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32 «Фінансові інструменти: подання»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5. Міжнародний стандарт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33 «Прибуток на акцію»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6. Міжнародний стандарт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34 «Проміжна фінансова звітність»</w:t>
      </w:r>
      <w:r w:rsidRPr="00202053">
        <w:rPr>
          <w:rFonts w:ascii="Arial" w:hAnsi="Arial" w:cs="Arial"/>
          <w:color w:val="000000"/>
          <w:sz w:val="22"/>
          <w:szCs w:val="22"/>
        </w:rPr>
        <w:br/>
        <w:t xml:space="preserve">7. Міжнародний стандарт бухгалтерського </w:t>
      </w:r>
      <w:proofErr w:type="gramStart"/>
      <w:r w:rsidRPr="00202053">
        <w:rPr>
          <w:rFonts w:ascii="Arial" w:hAnsi="Arial" w:cs="Arial"/>
          <w:color w:val="000000"/>
          <w:sz w:val="22"/>
          <w:szCs w:val="22"/>
        </w:rPr>
        <w:t>обл</w:t>
      </w:r>
      <w:proofErr w:type="gramEnd"/>
      <w:r w:rsidRPr="00202053">
        <w:rPr>
          <w:rFonts w:ascii="Arial" w:hAnsi="Arial" w:cs="Arial"/>
          <w:color w:val="000000"/>
          <w:sz w:val="22"/>
          <w:szCs w:val="22"/>
        </w:rPr>
        <w:t>іку 39 «Фінансові інструменти: визнання та оцінка»</w:t>
      </w:r>
    </w:p>
    <w:sectPr w:rsidR="00202053" w:rsidRPr="0020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dirty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53"/>
    <w:rsid w:val="00202053"/>
    <w:rsid w:val="004955FB"/>
    <w:rsid w:val="00F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2020-12-22T13:23:00Z</dcterms:created>
  <dcterms:modified xsi:type="dcterms:W3CDTF">2020-12-22T13:34:00Z</dcterms:modified>
</cp:coreProperties>
</file>