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C7" w:rsidRDefault="00202053" w:rsidP="0020205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</w:pPr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Перелі</w:t>
      </w:r>
      <w:proofErr w:type="gramStart"/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к</w:t>
      </w:r>
      <w:proofErr w:type="gramEnd"/>
      <w:r w:rsidRPr="00202053">
        <w:rPr>
          <w:rFonts w:ascii="Arial" w:hAnsi="Arial" w:cs="Arial"/>
          <w:sz w:val="28"/>
          <w:szCs w:val="28"/>
        </w:rPr>
        <w:t xml:space="preserve"> </w:t>
      </w:r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актів законодавства</w:t>
      </w:r>
    </w:p>
    <w:p w:rsidR="00202053" w:rsidRDefault="00202053" w:rsidP="0020205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</w:pPr>
      <w:r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 xml:space="preserve"> </w:t>
      </w:r>
      <w:r w:rsidR="006D79DD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>спеціалізовної програми</w:t>
      </w:r>
      <w:r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 xml:space="preserve"> </w:t>
      </w:r>
      <w:r w:rsidR="006D79DD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 xml:space="preserve">навчання з питань </w:t>
      </w:r>
      <w:r w:rsidR="004803CB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>депозитарної діяльності</w:t>
      </w:r>
    </w:p>
    <w:p w:rsidR="004803CB" w:rsidRPr="004803CB" w:rsidRDefault="00202053" w:rsidP="004803CB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  <w:sz w:val="22"/>
          <w:szCs w:val="22"/>
        </w:rPr>
      </w:pPr>
      <w:bookmarkStart w:id="0" w:name="_GoBack"/>
      <w:r w:rsidRPr="00202053">
        <w:rPr>
          <w:rFonts w:ascii="Arial" w:hAnsi="Arial" w:cs="Arial"/>
          <w:b/>
          <w:bCs/>
          <w:color w:val="FF0000"/>
          <w:sz w:val="22"/>
          <w:szCs w:val="22"/>
        </w:rPr>
        <w:t xml:space="preserve">НОРМАТИВНО-ПРАВОВІ АКТИ НАЦІОНАЛЬНОЇ КОМІСІЇ </w:t>
      </w:r>
      <w:proofErr w:type="gramStart"/>
      <w:r w:rsidRPr="00202053">
        <w:rPr>
          <w:rFonts w:ascii="Arial" w:hAnsi="Arial" w:cs="Arial"/>
          <w:b/>
          <w:bCs/>
          <w:color w:val="FF0000"/>
          <w:sz w:val="22"/>
          <w:szCs w:val="22"/>
        </w:rPr>
        <w:t>З</w:t>
      </w:r>
      <w:proofErr w:type="gramEnd"/>
      <w:r w:rsidRPr="00202053">
        <w:rPr>
          <w:rFonts w:ascii="Arial" w:hAnsi="Arial" w:cs="Arial"/>
          <w:b/>
          <w:bCs/>
          <w:color w:val="FF0000"/>
          <w:sz w:val="22"/>
          <w:szCs w:val="22"/>
        </w:rPr>
        <w:t xml:space="preserve"> ЦІННИХ ПАПЕРІВ ТА </w:t>
      </w:r>
      <w:bookmarkEnd w:id="0"/>
      <w:r w:rsidRPr="00202053">
        <w:rPr>
          <w:rFonts w:ascii="Arial" w:hAnsi="Arial" w:cs="Arial"/>
          <w:b/>
          <w:bCs/>
          <w:color w:val="FF0000"/>
          <w:sz w:val="22"/>
          <w:szCs w:val="22"/>
        </w:rPr>
        <w:t>ФОНДОВОГО РИНКУ</w:t>
      </w:r>
      <w:r w:rsidRPr="00202053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="004803CB" w:rsidRPr="004803CB">
        <w:rPr>
          <w:rFonts w:ascii="Arial" w:hAnsi="Arial" w:cs="Arial"/>
          <w:color w:val="000000"/>
          <w:sz w:val="22"/>
          <w:szCs w:val="22"/>
        </w:rPr>
        <w:t xml:space="preserve">1. Вимоги до депозитарного договору між депозитарною установою і Центральним депозитарієм цінних паперів,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06.08.2013 №1410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2. Вимоги до договору про кліринг та розрахунки за правочинами щодо цінних паперів (про надання клірингових послуг),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20.08.2013 №1527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3. Вимоги до договору про кореспондентські відносини,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06.08.2013 №1411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4. Вимоги до договору про надання реєстру власників іменних цінних паперів,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15.08.2013 №1518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5. Вимоги до договору про обслуговування випусків цінних паперів між емітентом і Центральним депозитарієм,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06.08.2013 №1413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6. Вимоги до договору про обслуговування клірингової установи та договору про обслуговування Розрахункового центру,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20.08.2013 №1526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7. Вимоги до договору про обслуговування рахунку в цінних паперах,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06.08.2013 №1412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8. Вимоги до договору про проведення грошових розрахунків за результатами клірингу,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20.08.2013 №1525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9. Вимоги до договору про проведення розрахунків у цінних паперах за результатами клірингу,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20.08.2013 №1524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10. Вимоги до програмних продуктів, які використовуються на фондовому ринку, та програмного забезпечення автоматизованих, інформаційних та інформаційно-телекомунікаційних систем, призначених для здійснення професійної діяльності на фондовому ринку, депозитарної діяльності Центрального депозитарію цінних паперів,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02.10.2012 №1342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11. Ліцензійні умови провадження професійної діяльності на фондовому ринку (ринку цінних паперів) - депозитарної діяльності та клірингової діяльності,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21.05.2013 №862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12. Положення про глобальний сертифікат та тимчасовий глобальний сертифікат,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30.07.2013 №1332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>13. Положення про граничний розмі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 xml:space="preserve"> витрат, пов’язаних із здійсненням недержавного пенсійного забезпечення, рішення від 04.12.2012 №1746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14. Положення про діяльність депозитарних установ щодо зберігання активів інституційних інвесторів,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20.06.2013 №1106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15. Положення про клірингову діяльність,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26.03.2013 №429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16. Положення про нагляд за дотриманням пруденційних нормативів професійними учасниками фондового ринку,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01.12.2015 №2021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17. Положення про порядок забезпечення існування іменних цінних паперів у бездокументарній формі,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22.01.2014 №47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18. Положення про порядок звітування депозитарними установами до Національної комісії з цінних паперів та фондового ринку,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11.06.2013 №992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19. Положення про порядок звітування Центральним депозитарієм цінних паперів до Національної комісії з цінних паперів та фондового ринку,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28.05.2013 №894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20. Положення про припинення депозитарною установою провадження професійної діяльності на фондовому ринку - депозитарної діяльності,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08.04.2014 №431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21. Положення про провадження депозитарної діяльності,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23.04.2013 №735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22. Положення щодо пруденційних нормативів професійної діяльності на фондовому ринку та вимог до системи управління ризиками,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01.10.2015 №1597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23. Порядок виплати акціонерним товариством дивідендів,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12.04.2016 №391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24. Порядок забезпечення інтересів власників іменних цінних паперів у разі відсутності документів системи реєстру власників іменних цінних паперів певного випуску,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24.06.2014 №805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25. Порядок заміни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св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ідоцтва (свідоцтв) про реєстрацію випуску (випусків) емісійних цінних паперів у зв’язку зі зміною найменування емітента та/або забезпеченням існування іменних цінних паперів у бездокументарній формі, рішення від 23.04.2013 №736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26. Порядок зупинення дії та анулювання ліцензії на окремі види професійної діяльності на фондовому ринку (ринку цінних паперів),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14.05.2013 №816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27. Порядок обігу, зберігання та знищення електронних документів, що використовуються професійними учасниками депозитарної системи України,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27.12.2013 №2996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28. Порядок оприлюднення Центральним депозитарієм цінних паперів інформації про результати своєї діяльності та структуру власності,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04.06.2013 №951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29. Порядок переведення випущених емітентом у документарній формі акцій на пред'явника в іменні акції,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24.06.2014 №804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30. Порядок передачі інформації, що міститься у системі реєстру власників іменних цінних паперів, до системи депозитарного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іку, рішення від 18.04.2013 №729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31. Порядок та умови видачі ліцензії на провадження окремих видів професійної діяльності на фондовому ринку (ринку цінних паперів),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14.05.2013 №817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32. Порядок та умови надання статусу Центрального депозитарію цінних паперів,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16.04.2013 №597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33. Принципи побудови системи депозитарного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іку України, рішення від 14.02.2013 №198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34. Про визначення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ідстав видачі розпорядження Національною комісією з цінних паперів та фондового ринку зберігачу пенсійного фонду, рішення від 20.11.2012 №1634</w:t>
      </w:r>
      <w:r w:rsidR="004803CB" w:rsidRPr="004803CB">
        <w:rPr>
          <w:rFonts w:ascii="Arial" w:hAnsi="Arial" w:cs="Arial"/>
          <w:color w:val="000000"/>
          <w:sz w:val="22"/>
          <w:szCs w:val="22"/>
        </w:rPr>
        <w:br/>
        <w:t xml:space="preserve">35. Про особливості провадження діяльності Національного банку України як учасника депозитарної системи України, </w:t>
      </w:r>
      <w:proofErr w:type="gramStart"/>
      <w:r w:rsidR="004803CB"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4803CB" w:rsidRPr="004803CB">
        <w:rPr>
          <w:rFonts w:ascii="Arial" w:hAnsi="Arial" w:cs="Arial"/>
          <w:color w:val="000000"/>
          <w:sz w:val="22"/>
          <w:szCs w:val="22"/>
        </w:rPr>
        <w:t>ішення від 30.07.2013 №1331</w:t>
      </w:r>
    </w:p>
    <w:p w:rsidR="004803CB" w:rsidRPr="004803CB" w:rsidRDefault="004803CB" w:rsidP="004803CB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4803CB">
        <w:rPr>
          <w:rFonts w:ascii="Arial" w:hAnsi="Arial" w:cs="Arial"/>
          <w:b/>
          <w:bCs/>
          <w:color w:val="FF0000"/>
          <w:sz w:val="22"/>
          <w:szCs w:val="22"/>
        </w:rPr>
        <w:t>НОРМАТИВНО-ПРАВОВІ АКТИ МІНІСТЕРСТВА ФІНАНСІВ УКРАЇНИ</w:t>
      </w:r>
      <w:r w:rsidRPr="004803CB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Pr="004803CB">
        <w:rPr>
          <w:rFonts w:ascii="Arial" w:hAnsi="Arial" w:cs="Arial"/>
          <w:color w:val="000000"/>
          <w:sz w:val="22"/>
          <w:szCs w:val="22"/>
        </w:rPr>
        <w:t xml:space="preserve">1. Порядок подання повідомлень про відкриття/закриття рахунків платників податків </w:t>
      </w:r>
      <w:proofErr w:type="gramStart"/>
      <w:r w:rsidRPr="004803CB">
        <w:rPr>
          <w:rFonts w:ascii="Arial" w:hAnsi="Arial" w:cs="Arial"/>
          <w:color w:val="000000"/>
          <w:sz w:val="22"/>
          <w:szCs w:val="22"/>
        </w:rPr>
        <w:t>у</w:t>
      </w:r>
      <w:proofErr w:type="gramEnd"/>
      <w:r w:rsidRPr="004803CB">
        <w:rPr>
          <w:rFonts w:ascii="Arial" w:hAnsi="Arial" w:cs="Arial"/>
          <w:color w:val="000000"/>
          <w:sz w:val="22"/>
          <w:szCs w:val="22"/>
        </w:rPr>
        <w:t xml:space="preserve"> банках та інших фінансових установах до контролюючих органів, наказ від 18.08.2015 №721</w:t>
      </w:r>
    </w:p>
    <w:p w:rsidR="004803CB" w:rsidRPr="004803CB" w:rsidRDefault="004803CB" w:rsidP="004803CB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4803CB">
        <w:rPr>
          <w:rFonts w:ascii="Arial" w:hAnsi="Arial" w:cs="Arial"/>
          <w:b/>
          <w:bCs/>
          <w:color w:val="FF0000"/>
          <w:sz w:val="22"/>
          <w:szCs w:val="22"/>
        </w:rPr>
        <w:t>НОРМАТИВНО-ПРАВОВІ АКТИ НАЦІОНАЛЬНОГО БАНКУ УКРАЇНИ</w:t>
      </w:r>
      <w:r w:rsidRPr="004803CB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Pr="004803CB">
        <w:rPr>
          <w:rFonts w:ascii="Arial" w:hAnsi="Arial" w:cs="Arial"/>
          <w:color w:val="000000"/>
          <w:sz w:val="22"/>
          <w:szCs w:val="22"/>
        </w:rPr>
        <w:t>1. Положення про провадження депозитарної і клірингової діяльності та забезпечення здійснення розрахункі</w:t>
      </w:r>
      <w:proofErr w:type="gramStart"/>
      <w:r w:rsidRPr="004803CB"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 w:rsidRPr="004803CB">
        <w:rPr>
          <w:rFonts w:ascii="Arial" w:hAnsi="Arial" w:cs="Arial"/>
          <w:color w:val="000000"/>
          <w:sz w:val="22"/>
          <w:szCs w:val="22"/>
        </w:rPr>
        <w:t xml:space="preserve"> за правочинами щодо цінних паперів Національним банком України, постанова від 21.12.2017 №140</w:t>
      </w:r>
    </w:p>
    <w:p w:rsidR="004803CB" w:rsidRPr="004803CB" w:rsidRDefault="004803CB" w:rsidP="004803CB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4803CB">
        <w:rPr>
          <w:rFonts w:ascii="Arial" w:hAnsi="Arial" w:cs="Arial"/>
          <w:b/>
          <w:bCs/>
          <w:color w:val="FF0000"/>
          <w:sz w:val="22"/>
          <w:szCs w:val="22"/>
        </w:rPr>
        <w:t>НОРМАТИВНО-ПРАВОВІ АКТИ НАЦІОНАЛЬНОГО ДЕПОЗИТАРІ</w:t>
      </w:r>
      <w:proofErr w:type="gramStart"/>
      <w:r w:rsidRPr="004803CB">
        <w:rPr>
          <w:rFonts w:ascii="Arial" w:hAnsi="Arial" w:cs="Arial"/>
          <w:b/>
          <w:bCs/>
          <w:color w:val="FF0000"/>
          <w:sz w:val="22"/>
          <w:szCs w:val="22"/>
        </w:rPr>
        <w:t>Ю</w:t>
      </w:r>
      <w:proofErr w:type="gramEnd"/>
      <w:r w:rsidRPr="004803CB">
        <w:rPr>
          <w:rFonts w:ascii="Arial" w:hAnsi="Arial" w:cs="Arial"/>
          <w:b/>
          <w:bCs/>
          <w:color w:val="FF0000"/>
          <w:sz w:val="22"/>
          <w:szCs w:val="22"/>
        </w:rPr>
        <w:t xml:space="preserve"> УКРАЇНИ</w:t>
      </w:r>
      <w:r w:rsidRPr="004803CB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Pr="004803CB">
        <w:rPr>
          <w:rFonts w:ascii="Arial" w:hAnsi="Arial" w:cs="Arial"/>
          <w:color w:val="000000"/>
          <w:sz w:val="22"/>
          <w:szCs w:val="22"/>
        </w:rPr>
        <w:t xml:space="preserve">1. Регламент провадження депозитарної діяльності Центрального депозитарію цінних паперів, </w:t>
      </w:r>
      <w:proofErr w:type="gramStart"/>
      <w:r w:rsidRPr="004803CB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4803CB">
        <w:rPr>
          <w:rFonts w:ascii="Arial" w:hAnsi="Arial" w:cs="Arial"/>
          <w:color w:val="000000"/>
          <w:sz w:val="22"/>
          <w:szCs w:val="22"/>
        </w:rPr>
        <w:t>ішення від 16.11.2018 №1/23</w:t>
      </w:r>
    </w:p>
    <w:p w:rsidR="005630D6" w:rsidRPr="004803CB" w:rsidRDefault="005630D6" w:rsidP="004803CB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  <w:sz w:val="22"/>
          <w:szCs w:val="22"/>
        </w:rPr>
      </w:pPr>
    </w:p>
    <w:sectPr w:rsidR="005630D6" w:rsidRPr="004803CB" w:rsidSect="005630D6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dirty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53"/>
    <w:rsid w:val="00202053"/>
    <w:rsid w:val="004803CB"/>
    <w:rsid w:val="004955FB"/>
    <w:rsid w:val="005630D6"/>
    <w:rsid w:val="006D79DD"/>
    <w:rsid w:val="00A770E9"/>
    <w:rsid w:val="00DD2DEB"/>
    <w:rsid w:val="00DF7898"/>
    <w:rsid w:val="00F3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2020-12-22T14:02:00Z</dcterms:created>
  <dcterms:modified xsi:type="dcterms:W3CDTF">2020-12-22T14:04:00Z</dcterms:modified>
</cp:coreProperties>
</file>